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FE5" w:rsidRPr="00821CA8" w:rsidRDefault="00684FE5" w:rsidP="001D36AE">
      <w:pPr>
        <w:rPr>
          <w:rFonts w:ascii="Open Sans" w:hAnsi="Open Sans" w:cs="Open Sans"/>
        </w:rPr>
      </w:pPr>
    </w:p>
    <w:tbl>
      <w:tblPr>
        <w:tblW w:w="0" w:type="auto"/>
        <w:jc w:val="center"/>
        <w:tblLayout w:type="fixed"/>
        <w:tblCellMar>
          <w:left w:w="0" w:type="dxa"/>
          <w:right w:w="0" w:type="dxa"/>
        </w:tblCellMar>
        <w:tblLook w:val="04A0" w:firstRow="1" w:lastRow="0" w:firstColumn="1" w:lastColumn="0" w:noHBand="0" w:noVBand="1"/>
      </w:tblPr>
      <w:tblGrid>
        <w:gridCol w:w="8222"/>
      </w:tblGrid>
      <w:tr w:rsidR="0018361A" w:rsidRPr="00821CA8" w:rsidTr="009609A9">
        <w:trPr>
          <w:trHeight w:val="3975"/>
          <w:jc w:val="center"/>
        </w:trPr>
        <w:tc>
          <w:tcPr>
            <w:tcW w:w="8222" w:type="dxa"/>
            <w:vAlign w:val="bottom"/>
          </w:tcPr>
          <w:p w:rsidR="0018361A" w:rsidRPr="00821CA8" w:rsidRDefault="005C0683" w:rsidP="002E3470">
            <w:pPr>
              <w:pStyle w:val="Date"/>
              <w:rPr>
                <w:rFonts w:ascii="Open Sans" w:hAnsi="Open Sans" w:cs="Open Sans"/>
              </w:rPr>
            </w:pPr>
            <w:r>
              <w:rPr>
                <w:rFonts w:ascii="Open Sans" w:hAnsi="Open Sans" w:cs="Open Sans"/>
              </w:rPr>
              <w:t>December</w:t>
            </w:r>
            <w:r w:rsidR="00C30ACC">
              <w:rPr>
                <w:rFonts w:ascii="Open Sans" w:hAnsi="Open Sans" w:cs="Open Sans"/>
              </w:rPr>
              <w:t xml:space="preserve"> 2017</w:t>
            </w:r>
          </w:p>
        </w:tc>
      </w:tr>
      <w:tr w:rsidR="0018361A" w:rsidRPr="00821CA8" w:rsidTr="009609A9">
        <w:trPr>
          <w:trHeight w:val="2703"/>
          <w:jc w:val="center"/>
        </w:trPr>
        <w:tc>
          <w:tcPr>
            <w:tcW w:w="8222" w:type="dxa"/>
            <w:vAlign w:val="bottom"/>
          </w:tcPr>
          <w:p w:rsidR="0018361A" w:rsidRPr="00821CA8" w:rsidRDefault="00C30ACC" w:rsidP="0061317F">
            <w:pPr>
              <w:pStyle w:val="Title"/>
              <w:rPr>
                <w:rFonts w:ascii="Open Sans" w:eastAsia="Times New Roman" w:hAnsi="Open Sans" w:cs="Open Sans"/>
              </w:rPr>
            </w:pPr>
            <w:r>
              <w:rPr>
                <w:rFonts w:ascii="Open Sans" w:eastAsia="Times New Roman" w:hAnsi="Open Sans" w:cs="Open Sans"/>
              </w:rPr>
              <w:t>BUILDING COMMUNITY WEALTH IN DONCASTER VIA AN ANCHOR INSTITUTION STRATEGY</w:t>
            </w:r>
          </w:p>
        </w:tc>
      </w:tr>
      <w:tr w:rsidR="0018361A" w:rsidRPr="00821CA8" w:rsidTr="00041858">
        <w:trPr>
          <w:jc w:val="center"/>
        </w:trPr>
        <w:tc>
          <w:tcPr>
            <w:tcW w:w="8222" w:type="dxa"/>
            <w:vAlign w:val="bottom"/>
          </w:tcPr>
          <w:p w:rsidR="00041858" w:rsidRPr="00821CA8" w:rsidRDefault="005C0683" w:rsidP="00041858">
            <w:pPr>
              <w:pStyle w:val="CoverText"/>
              <w:rPr>
                <w:rFonts w:ascii="Open Sans" w:hAnsi="Open Sans" w:cs="Open Sans"/>
              </w:rPr>
            </w:pPr>
            <w:bookmarkStart w:id="0" w:name="ReportType"/>
            <w:r>
              <w:rPr>
                <w:rFonts w:ascii="Open Sans" w:hAnsi="Open Sans" w:cs="Open Sans"/>
              </w:rPr>
              <w:t>Final</w:t>
            </w:r>
            <w:r w:rsidR="00C30ACC">
              <w:rPr>
                <w:rFonts w:ascii="Open Sans" w:hAnsi="Open Sans" w:cs="Open Sans"/>
              </w:rPr>
              <w:t xml:space="preserve"> </w:t>
            </w:r>
            <w:r>
              <w:rPr>
                <w:rFonts w:ascii="Open Sans" w:hAnsi="Open Sans" w:cs="Open Sans"/>
              </w:rPr>
              <w:t>r</w:t>
            </w:r>
            <w:r w:rsidR="00C30ACC">
              <w:rPr>
                <w:rFonts w:ascii="Open Sans" w:hAnsi="Open Sans" w:cs="Open Sans"/>
              </w:rPr>
              <w:t>eport</w:t>
            </w:r>
            <w:bookmarkEnd w:id="0"/>
            <w:r w:rsidR="00674265" w:rsidRPr="00821CA8">
              <w:rPr>
                <w:rFonts w:ascii="Open Sans" w:hAnsi="Open Sans" w:cs="Open Sans"/>
              </w:rPr>
              <w:t xml:space="preserve"> prepared by</w:t>
            </w:r>
          </w:p>
        </w:tc>
      </w:tr>
      <w:tr w:rsidR="0018361A" w:rsidRPr="00821CA8" w:rsidTr="00041858">
        <w:trPr>
          <w:jc w:val="center"/>
        </w:trPr>
        <w:tc>
          <w:tcPr>
            <w:tcW w:w="8222" w:type="dxa"/>
            <w:vAlign w:val="bottom"/>
          </w:tcPr>
          <w:p w:rsidR="0018361A" w:rsidRPr="00821CA8" w:rsidRDefault="00BD4A7E" w:rsidP="002F6196">
            <w:pPr>
              <w:pStyle w:val="Date"/>
              <w:rPr>
                <w:rFonts w:ascii="Open Sans" w:hAnsi="Open Sans" w:cs="Open Sans"/>
              </w:rPr>
            </w:pPr>
            <w:r w:rsidRPr="00821CA8">
              <w:rPr>
                <w:rFonts w:ascii="Open Sans" w:hAnsi="Open Sans" w:cs="Open Sans"/>
              </w:rPr>
              <w:t>Centre for Local Economic Strategies</w:t>
            </w:r>
          </w:p>
        </w:tc>
      </w:tr>
      <w:tr w:rsidR="0018361A" w:rsidRPr="00821CA8" w:rsidTr="00041858">
        <w:trPr>
          <w:jc w:val="center"/>
        </w:trPr>
        <w:tc>
          <w:tcPr>
            <w:tcW w:w="8222" w:type="dxa"/>
            <w:vAlign w:val="bottom"/>
          </w:tcPr>
          <w:p w:rsidR="0018361A" w:rsidRPr="00821CA8" w:rsidRDefault="00AF6B66" w:rsidP="00041858">
            <w:pPr>
              <w:pStyle w:val="CoverText"/>
              <w:rPr>
                <w:rFonts w:ascii="Open Sans" w:hAnsi="Open Sans" w:cs="Open Sans"/>
              </w:rPr>
            </w:pPr>
            <w:r w:rsidRPr="00821CA8">
              <w:rPr>
                <w:rFonts w:ascii="Open Sans" w:hAnsi="Open Sans" w:cs="Open Sans"/>
              </w:rPr>
              <w:t>Presented to</w:t>
            </w:r>
          </w:p>
        </w:tc>
      </w:tr>
      <w:tr w:rsidR="0018361A" w:rsidRPr="00821CA8" w:rsidTr="00041858">
        <w:trPr>
          <w:jc w:val="center"/>
        </w:trPr>
        <w:tc>
          <w:tcPr>
            <w:tcW w:w="8222" w:type="dxa"/>
            <w:vAlign w:val="bottom"/>
          </w:tcPr>
          <w:p w:rsidR="0018361A" w:rsidRPr="00821CA8" w:rsidRDefault="00C30ACC" w:rsidP="00041858">
            <w:pPr>
              <w:pStyle w:val="Date"/>
              <w:rPr>
                <w:rFonts w:ascii="Open Sans" w:hAnsi="Open Sans" w:cs="Open Sans"/>
              </w:rPr>
            </w:pPr>
            <w:r>
              <w:rPr>
                <w:rFonts w:ascii="Open Sans" w:hAnsi="Open Sans" w:cs="Open Sans"/>
              </w:rPr>
              <w:t xml:space="preserve">Doncaster Metropolitan Borough Council </w:t>
            </w:r>
          </w:p>
        </w:tc>
      </w:tr>
    </w:tbl>
    <w:p w:rsidR="0018361A" w:rsidRPr="00821CA8" w:rsidRDefault="0018361A" w:rsidP="001D36AE">
      <w:pPr>
        <w:rPr>
          <w:rFonts w:ascii="Open Sans" w:hAnsi="Open Sans" w:cs="Open Sans"/>
        </w:rPr>
      </w:pPr>
    </w:p>
    <w:p w:rsidR="003576EE" w:rsidRPr="00821CA8" w:rsidRDefault="003576EE" w:rsidP="001D36AE">
      <w:pPr>
        <w:rPr>
          <w:rFonts w:ascii="Open Sans" w:hAnsi="Open Sans" w:cs="Open Sans"/>
        </w:rPr>
        <w:sectPr w:rsidR="003576EE" w:rsidRPr="00821CA8" w:rsidSect="00E242BD">
          <w:headerReference w:type="default" r:id="rId8"/>
          <w:footerReference w:type="default" r:id="rId9"/>
          <w:pgSz w:w="11907" w:h="16839" w:code="9"/>
          <w:pgMar w:top="3402" w:right="1134" w:bottom="1134" w:left="1134" w:header="709" w:footer="709" w:gutter="0"/>
          <w:cols w:space="708"/>
          <w:docGrid w:linePitch="360"/>
        </w:sectPr>
      </w:pPr>
    </w:p>
    <w:p w:rsidR="003576EE" w:rsidRPr="00F74E5A" w:rsidRDefault="00A621DF" w:rsidP="00F74E5A">
      <w:pPr>
        <w:pStyle w:val="ContentsHeading"/>
        <w:spacing w:after="80"/>
        <w:rPr>
          <w:rFonts w:ascii="Open Sans" w:hAnsi="Open Sans" w:cs="Open Sans"/>
          <w:szCs w:val="20"/>
        </w:rPr>
      </w:pPr>
      <w:r w:rsidRPr="00F74E5A">
        <w:rPr>
          <w:rFonts w:ascii="Open Sans" w:hAnsi="Open Sans" w:cs="Open Sans"/>
          <w:szCs w:val="20"/>
        </w:rPr>
        <w:lastRenderedPageBreak/>
        <w:t>Contents</w:t>
      </w:r>
      <w:r w:rsidR="008225E7" w:rsidRPr="00F74E5A">
        <w:rPr>
          <w:rFonts w:ascii="Open Sans" w:hAnsi="Open Sans" w:cs="Open Sans"/>
          <w:szCs w:val="20"/>
        </w:rPr>
        <w:tab/>
        <w:t>Page no.</w:t>
      </w:r>
    </w:p>
    <w:p w:rsidR="00AF2F1A" w:rsidRPr="00F74E5A" w:rsidRDefault="00A621DF" w:rsidP="00F74E5A">
      <w:pPr>
        <w:pStyle w:val="TOC1"/>
        <w:spacing w:before="100"/>
        <w:rPr>
          <w:rFonts w:ascii="Open Sans" w:eastAsiaTheme="minorEastAsia" w:hAnsi="Open Sans" w:cs="Open Sans"/>
          <w:b w:val="0"/>
          <w:caps w:val="0"/>
          <w:noProof/>
          <w:color w:val="auto"/>
          <w:szCs w:val="20"/>
          <w:lang w:eastAsia="en-GB"/>
        </w:rPr>
      </w:pPr>
      <w:r w:rsidRPr="00F74E5A">
        <w:rPr>
          <w:rFonts w:ascii="Open Sans" w:hAnsi="Open Sans" w:cs="Open Sans"/>
          <w:szCs w:val="20"/>
        </w:rPr>
        <w:fldChar w:fldCharType="begin"/>
      </w:r>
      <w:r w:rsidRPr="00F74E5A">
        <w:rPr>
          <w:rFonts w:ascii="Open Sans" w:hAnsi="Open Sans" w:cs="Open Sans"/>
          <w:szCs w:val="20"/>
        </w:rPr>
        <w:instrText xml:space="preserve"> toc \t "Executive Summary,1,Heading 1,1,Heading 2,2,Heading 3,3" \h </w:instrText>
      </w:r>
      <w:r w:rsidRPr="00F74E5A">
        <w:rPr>
          <w:rFonts w:ascii="Open Sans" w:hAnsi="Open Sans" w:cs="Open Sans"/>
          <w:szCs w:val="20"/>
        </w:rPr>
        <w:fldChar w:fldCharType="separate"/>
      </w:r>
      <w:hyperlink w:anchor="_Toc495660119" w:history="1">
        <w:r w:rsidR="00AF2F1A" w:rsidRPr="00F74E5A">
          <w:rPr>
            <w:rStyle w:val="Hyperlink"/>
            <w:rFonts w:ascii="Open Sans" w:hAnsi="Open Sans" w:cs="Open Sans"/>
            <w:noProof/>
            <w:szCs w:val="20"/>
          </w:rPr>
          <w:t>1</w:t>
        </w:r>
        <w:r w:rsidR="00AF2F1A" w:rsidRPr="00F74E5A">
          <w:rPr>
            <w:rFonts w:ascii="Open Sans" w:eastAsiaTheme="minorEastAsia" w:hAnsi="Open Sans" w:cs="Open Sans"/>
            <w:b w:val="0"/>
            <w:caps w:val="0"/>
            <w:noProof/>
            <w:color w:val="auto"/>
            <w:szCs w:val="20"/>
            <w:lang w:eastAsia="en-GB"/>
          </w:rPr>
          <w:tab/>
        </w:r>
        <w:r w:rsidR="00AF2F1A" w:rsidRPr="00F74E5A">
          <w:rPr>
            <w:rStyle w:val="Hyperlink"/>
            <w:rFonts w:ascii="Open Sans" w:hAnsi="Open Sans" w:cs="Open Sans"/>
            <w:noProof/>
            <w:szCs w:val="20"/>
          </w:rPr>
          <w:t>Introduction</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_Toc495660119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2</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20" w:history="1">
        <w:r w:rsidR="00AF2F1A" w:rsidRPr="00F74E5A">
          <w:rPr>
            <w:rStyle w:val="Hyperlink"/>
            <w:rFonts w:ascii="Open Sans" w:hAnsi="Open Sans" w:cs="Open Sans"/>
            <w:noProof/>
            <w:szCs w:val="20"/>
          </w:rPr>
          <w:t>1.1</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Community wealth building as a concept</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_Toc495660120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2</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21" w:history="1">
        <w:r w:rsidR="00AF2F1A" w:rsidRPr="00F74E5A">
          <w:rPr>
            <w:rStyle w:val="Hyperlink"/>
            <w:rFonts w:ascii="Open Sans" w:hAnsi="Open Sans" w:cs="Open Sans"/>
            <w:noProof/>
            <w:szCs w:val="20"/>
          </w:rPr>
          <w:t>1.2</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What we mean by Anchor institutions</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_Toc495660121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2</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22" w:history="1">
        <w:r w:rsidR="00AF2F1A" w:rsidRPr="00F74E5A">
          <w:rPr>
            <w:rStyle w:val="Hyperlink"/>
            <w:rFonts w:ascii="Open Sans" w:hAnsi="Open Sans" w:cs="Open Sans"/>
            <w:noProof/>
            <w:szCs w:val="20"/>
          </w:rPr>
          <w:t>1.3</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An anchor institution strategy</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_Toc495660122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2</w:t>
        </w:r>
        <w:r w:rsidR="00AF2F1A" w:rsidRPr="00F74E5A">
          <w:rPr>
            <w:rFonts w:ascii="Open Sans" w:hAnsi="Open Sans" w:cs="Open Sans"/>
            <w:noProof/>
            <w:szCs w:val="20"/>
          </w:rPr>
          <w:fldChar w:fldCharType="end"/>
        </w:r>
      </w:hyperlink>
    </w:p>
    <w:p w:rsidR="00AF2F1A" w:rsidRPr="00F74E5A" w:rsidRDefault="00F05593">
      <w:pPr>
        <w:pStyle w:val="TOC3"/>
        <w:tabs>
          <w:tab w:val="left" w:pos="2051"/>
        </w:tabs>
        <w:rPr>
          <w:rFonts w:ascii="Open Sans" w:eastAsiaTheme="minorEastAsia" w:hAnsi="Open Sans" w:cs="Open Sans"/>
          <w:noProof/>
          <w:szCs w:val="20"/>
          <w:lang w:eastAsia="en-GB"/>
        </w:rPr>
      </w:pPr>
      <w:hyperlink w:anchor="_Toc495660123" w:history="1">
        <w:r w:rsidR="00AF2F1A" w:rsidRPr="00F74E5A">
          <w:rPr>
            <w:rStyle w:val="Hyperlink"/>
            <w:rFonts w:ascii="Open Sans" w:hAnsi="Open Sans" w:cs="Open Sans"/>
            <w:noProof/>
            <w:szCs w:val="20"/>
          </w:rPr>
          <w:t>1.3.1</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The role of Anchors in delivering inclusive governance</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_Toc495660123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3</w:t>
        </w:r>
        <w:r w:rsidR="00AF2F1A" w:rsidRPr="00F74E5A">
          <w:rPr>
            <w:rFonts w:ascii="Open Sans" w:hAnsi="Open Sans" w:cs="Open Sans"/>
            <w:noProof/>
            <w:szCs w:val="20"/>
          </w:rPr>
          <w:fldChar w:fldCharType="end"/>
        </w:r>
      </w:hyperlink>
    </w:p>
    <w:p w:rsidR="00AF2F1A" w:rsidRPr="00F74E5A" w:rsidRDefault="00F05593">
      <w:pPr>
        <w:pStyle w:val="TOC3"/>
        <w:tabs>
          <w:tab w:val="left" w:pos="2051"/>
        </w:tabs>
        <w:rPr>
          <w:rFonts w:ascii="Open Sans" w:eastAsiaTheme="minorEastAsia" w:hAnsi="Open Sans" w:cs="Open Sans"/>
          <w:noProof/>
          <w:szCs w:val="20"/>
          <w:lang w:eastAsia="en-GB"/>
        </w:rPr>
      </w:pPr>
      <w:hyperlink w:anchor="_Toc495660124" w:history="1">
        <w:r w:rsidR="00AF2F1A" w:rsidRPr="00F74E5A">
          <w:rPr>
            <w:rStyle w:val="Hyperlink"/>
            <w:rFonts w:ascii="Open Sans" w:hAnsi="Open Sans" w:cs="Open Sans"/>
            <w:noProof/>
            <w:szCs w:val="20"/>
          </w:rPr>
          <w:t>1.3.2</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The role of Anchors in delivering good local economies</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_Toc495660124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3</w:t>
        </w:r>
        <w:r w:rsidR="00AF2F1A" w:rsidRPr="00F74E5A">
          <w:rPr>
            <w:rFonts w:ascii="Open Sans" w:hAnsi="Open Sans" w:cs="Open Sans"/>
            <w:noProof/>
            <w:szCs w:val="20"/>
          </w:rPr>
          <w:fldChar w:fldCharType="end"/>
        </w:r>
      </w:hyperlink>
    </w:p>
    <w:p w:rsidR="00AF2F1A" w:rsidRPr="00F74E5A" w:rsidRDefault="00F05593">
      <w:pPr>
        <w:pStyle w:val="TOC3"/>
        <w:tabs>
          <w:tab w:val="left" w:pos="2051"/>
        </w:tabs>
        <w:rPr>
          <w:rFonts w:ascii="Open Sans" w:eastAsiaTheme="minorEastAsia" w:hAnsi="Open Sans" w:cs="Open Sans"/>
          <w:noProof/>
          <w:szCs w:val="20"/>
          <w:lang w:eastAsia="en-GB"/>
        </w:rPr>
      </w:pPr>
      <w:hyperlink w:anchor="_Toc495660125" w:history="1">
        <w:r w:rsidR="00AF2F1A" w:rsidRPr="00F74E5A">
          <w:rPr>
            <w:rStyle w:val="Hyperlink"/>
            <w:rFonts w:ascii="Open Sans" w:hAnsi="Open Sans" w:cs="Open Sans"/>
            <w:noProof/>
            <w:szCs w:val="20"/>
          </w:rPr>
          <w:t>1.3.3</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The role of Anchors in delivering successful places</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_Toc495660125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3</w:t>
        </w:r>
        <w:r w:rsidR="00AF2F1A" w:rsidRPr="00F74E5A">
          <w:rPr>
            <w:rFonts w:ascii="Open Sans" w:hAnsi="Open Sans" w:cs="Open Sans"/>
            <w:noProof/>
            <w:szCs w:val="20"/>
          </w:rPr>
          <w:fldChar w:fldCharType="end"/>
        </w:r>
      </w:hyperlink>
    </w:p>
    <w:p w:rsidR="00AF2F1A" w:rsidRPr="00F74E5A" w:rsidRDefault="00F05593">
      <w:pPr>
        <w:pStyle w:val="TOC1"/>
        <w:rPr>
          <w:rFonts w:ascii="Open Sans" w:eastAsiaTheme="minorEastAsia" w:hAnsi="Open Sans" w:cs="Open Sans"/>
          <w:b w:val="0"/>
          <w:caps w:val="0"/>
          <w:noProof/>
          <w:color w:val="auto"/>
          <w:szCs w:val="20"/>
          <w:lang w:eastAsia="en-GB"/>
        </w:rPr>
      </w:pPr>
      <w:hyperlink w:anchor="_Toc495660126" w:history="1">
        <w:r w:rsidR="00AF2F1A" w:rsidRPr="00F74E5A">
          <w:rPr>
            <w:rStyle w:val="Hyperlink"/>
            <w:rFonts w:ascii="Open Sans" w:hAnsi="Open Sans" w:cs="Open Sans"/>
            <w:noProof/>
            <w:szCs w:val="20"/>
          </w:rPr>
          <w:t>2</w:t>
        </w:r>
        <w:r w:rsidR="00AF2F1A" w:rsidRPr="00F74E5A">
          <w:rPr>
            <w:rFonts w:ascii="Open Sans" w:eastAsiaTheme="minorEastAsia" w:hAnsi="Open Sans" w:cs="Open Sans"/>
            <w:b w:val="0"/>
            <w:caps w:val="0"/>
            <w:noProof/>
            <w:color w:val="auto"/>
            <w:szCs w:val="20"/>
            <w:lang w:eastAsia="en-GB"/>
          </w:rPr>
          <w:tab/>
        </w:r>
        <w:r w:rsidR="00AF2F1A" w:rsidRPr="00F74E5A">
          <w:rPr>
            <w:rStyle w:val="Hyperlink"/>
            <w:rFonts w:ascii="Open Sans" w:hAnsi="Open Sans" w:cs="Open Sans"/>
            <w:noProof/>
            <w:szCs w:val="20"/>
          </w:rPr>
          <w:t>Setting the foundations</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_Toc495660126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5</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27" w:history="1">
        <w:r w:rsidR="00AF2F1A" w:rsidRPr="00F74E5A">
          <w:rPr>
            <w:rStyle w:val="Hyperlink"/>
            <w:rFonts w:ascii="Open Sans" w:hAnsi="Open Sans" w:cs="Open Sans"/>
            <w:noProof/>
            <w:szCs w:val="20"/>
          </w:rPr>
          <w:t>2.1</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Understanding the driver</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_Toc495660127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5</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28" w:history="1">
        <w:r w:rsidR="00AF2F1A" w:rsidRPr="00F74E5A">
          <w:rPr>
            <w:rStyle w:val="Hyperlink"/>
            <w:rFonts w:ascii="Open Sans" w:hAnsi="Open Sans" w:cs="Open Sans"/>
            <w:noProof/>
            <w:szCs w:val="20"/>
          </w:rPr>
          <w:t>2.2</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Setting a vision</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_Toc495660128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5</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29" w:history="1">
        <w:r w:rsidR="00AF2F1A" w:rsidRPr="00F74E5A">
          <w:rPr>
            <w:rStyle w:val="Hyperlink"/>
            <w:rFonts w:ascii="Open Sans" w:hAnsi="Open Sans" w:cs="Open Sans"/>
            <w:noProof/>
            <w:szCs w:val="20"/>
          </w:rPr>
          <w:t>2.3</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Setting the wider strategy</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_Toc495660129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5</w:t>
        </w:r>
        <w:r w:rsidR="00AF2F1A" w:rsidRPr="00F74E5A">
          <w:rPr>
            <w:rFonts w:ascii="Open Sans" w:hAnsi="Open Sans" w:cs="Open Sans"/>
            <w:noProof/>
            <w:szCs w:val="20"/>
          </w:rPr>
          <w:fldChar w:fldCharType="end"/>
        </w:r>
      </w:hyperlink>
    </w:p>
    <w:p w:rsidR="00AF2F1A" w:rsidRPr="00F74E5A" w:rsidRDefault="00F05593">
      <w:pPr>
        <w:pStyle w:val="TOC1"/>
        <w:rPr>
          <w:rFonts w:ascii="Open Sans" w:eastAsiaTheme="minorEastAsia" w:hAnsi="Open Sans" w:cs="Open Sans"/>
          <w:b w:val="0"/>
          <w:caps w:val="0"/>
          <w:noProof/>
          <w:color w:val="auto"/>
          <w:szCs w:val="20"/>
          <w:lang w:eastAsia="en-GB"/>
        </w:rPr>
      </w:pPr>
      <w:hyperlink w:anchor="_Toc495660130" w:history="1">
        <w:r w:rsidR="00AF2F1A" w:rsidRPr="00F74E5A">
          <w:rPr>
            <w:rStyle w:val="Hyperlink"/>
            <w:rFonts w:ascii="Open Sans" w:hAnsi="Open Sans" w:cs="Open Sans"/>
            <w:noProof/>
            <w:szCs w:val="20"/>
          </w:rPr>
          <w:t>3</w:t>
        </w:r>
        <w:r w:rsidR="00AF2F1A" w:rsidRPr="00F74E5A">
          <w:rPr>
            <w:rFonts w:ascii="Open Sans" w:eastAsiaTheme="minorEastAsia" w:hAnsi="Open Sans" w:cs="Open Sans"/>
            <w:b w:val="0"/>
            <w:caps w:val="0"/>
            <w:noProof/>
            <w:color w:val="auto"/>
            <w:szCs w:val="20"/>
            <w:lang w:eastAsia="en-GB"/>
          </w:rPr>
          <w:tab/>
        </w:r>
        <w:r w:rsidR="00AF2F1A" w:rsidRPr="00F74E5A">
          <w:rPr>
            <w:rStyle w:val="Hyperlink"/>
            <w:rFonts w:ascii="Open Sans" w:hAnsi="Open Sans" w:cs="Open Sans"/>
            <w:noProof/>
            <w:szCs w:val="20"/>
          </w:rPr>
          <w:t>Building an Anchor Institution Network</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_Toc495660130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7</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31" w:history="1">
        <w:r w:rsidR="00AF2F1A" w:rsidRPr="00F74E5A">
          <w:rPr>
            <w:rStyle w:val="Hyperlink"/>
            <w:rFonts w:ascii="Open Sans" w:hAnsi="Open Sans" w:cs="Open Sans"/>
            <w:noProof/>
            <w:szCs w:val="20"/>
          </w:rPr>
          <w:t>3.1</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Identifying public and private institutions</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_Toc495660131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7</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32" w:history="1">
        <w:r w:rsidR="00AF2F1A" w:rsidRPr="00F74E5A">
          <w:rPr>
            <w:rStyle w:val="Hyperlink"/>
            <w:rFonts w:ascii="Open Sans" w:hAnsi="Open Sans" w:cs="Open Sans"/>
            <w:noProof/>
            <w:szCs w:val="20"/>
          </w:rPr>
          <w:t>3.2</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Engaging local institutions</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_Toc495660132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8</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33" w:history="1">
        <w:r w:rsidR="00AF2F1A" w:rsidRPr="00F74E5A">
          <w:rPr>
            <w:rStyle w:val="Hyperlink"/>
            <w:rFonts w:ascii="Open Sans" w:hAnsi="Open Sans" w:cs="Open Sans"/>
            <w:noProof/>
            <w:szCs w:val="20"/>
          </w:rPr>
          <w:t>3.3</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Understanding local institutions priorities</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_Toc495660133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8</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34" w:history="1">
        <w:r w:rsidR="00AF2F1A" w:rsidRPr="00F74E5A">
          <w:rPr>
            <w:rStyle w:val="Hyperlink"/>
            <w:rFonts w:ascii="Open Sans" w:hAnsi="Open Sans" w:cs="Open Sans"/>
            <w:noProof/>
            <w:szCs w:val="20"/>
          </w:rPr>
          <w:t>3.4</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Promoting cooperation across institutions</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_Toc495660134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9</w:t>
        </w:r>
        <w:r w:rsidR="00AF2F1A" w:rsidRPr="00F74E5A">
          <w:rPr>
            <w:rFonts w:ascii="Open Sans" w:hAnsi="Open Sans" w:cs="Open Sans"/>
            <w:noProof/>
            <w:szCs w:val="20"/>
          </w:rPr>
          <w:fldChar w:fldCharType="end"/>
        </w:r>
      </w:hyperlink>
    </w:p>
    <w:p w:rsidR="00AF2F1A" w:rsidRPr="00F74E5A" w:rsidRDefault="00F05593">
      <w:pPr>
        <w:pStyle w:val="TOC1"/>
        <w:rPr>
          <w:rFonts w:ascii="Open Sans" w:eastAsiaTheme="minorEastAsia" w:hAnsi="Open Sans" w:cs="Open Sans"/>
          <w:b w:val="0"/>
          <w:caps w:val="0"/>
          <w:noProof/>
          <w:color w:val="auto"/>
          <w:szCs w:val="20"/>
          <w:lang w:eastAsia="en-GB"/>
        </w:rPr>
      </w:pPr>
      <w:hyperlink w:anchor="_Toc495660135" w:history="1">
        <w:r w:rsidR="00AF2F1A" w:rsidRPr="00F74E5A">
          <w:rPr>
            <w:rStyle w:val="Hyperlink"/>
            <w:rFonts w:ascii="Open Sans" w:hAnsi="Open Sans" w:cs="Open Sans"/>
            <w:noProof/>
            <w:szCs w:val="20"/>
          </w:rPr>
          <w:t>4</w:t>
        </w:r>
        <w:r w:rsidR="00AF2F1A" w:rsidRPr="00F74E5A">
          <w:rPr>
            <w:rFonts w:ascii="Open Sans" w:eastAsiaTheme="minorEastAsia" w:hAnsi="Open Sans" w:cs="Open Sans"/>
            <w:b w:val="0"/>
            <w:caps w:val="0"/>
            <w:noProof/>
            <w:color w:val="auto"/>
            <w:szCs w:val="20"/>
            <w:lang w:eastAsia="en-GB"/>
          </w:rPr>
          <w:tab/>
        </w:r>
        <w:r w:rsidR="00AF2F1A" w:rsidRPr="00F74E5A">
          <w:rPr>
            <w:rStyle w:val="Hyperlink"/>
            <w:rFonts w:ascii="Open Sans" w:hAnsi="Open Sans" w:cs="Open Sans"/>
            <w:noProof/>
            <w:szCs w:val="20"/>
          </w:rPr>
          <w:t>Developing an Anchor Institution Strategy</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_Toc495660135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10</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36" w:history="1">
        <w:r w:rsidR="00AF2F1A" w:rsidRPr="00F74E5A">
          <w:rPr>
            <w:rStyle w:val="Hyperlink"/>
            <w:rFonts w:ascii="Open Sans" w:hAnsi="Open Sans" w:cs="Open Sans"/>
            <w:noProof/>
            <w:szCs w:val="20"/>
          </w:rPr>
          <w:t>4.1</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Setting a statement of intent / memorandum of understanding</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_Toc495660136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10</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37" w:history="1">
        <w:r w:rsidR="00AF2F1A" w:rsidRPr="00F74E5A">
          <w:rPr>
            <w:rStyle w:val="Hyperlink"/>
            <w:rFonts w:ascii="Open Sans" w:hAnsi="Open Sans" w:cs="Open Sans"/>
            <w:noProof/>
            <w:szCs w:val="20"/>
          </w:rPr>
          <w:t>4.2</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Developing an Anchor Institution Action Plan/Toolkit</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_Toc495660137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10</w:t>
        </w:r>
        <w:r w:rsidR="00AF2F1A" w:rsidRPr="00F74E5A">
          <w:rPr>
            <w:rFonts w:ascii="Open Sans" w:hAnsi="Open Sans" w:cs="Open Sans"/>
            <w:noProof/>
            <w:szCs w:val="20"/>
          </w:rPr>
          <w:fldChar w:fldCharType="end"/>
        </w:r>
      </w:hyperlink>
    </w:p>
    <w:p w:rsidR="00AF2F1A" w:rsidRPr="00F74E5A" w:rsidRDefault="00F05593">
      <w:pPr>
        <w:pStyle w:val="TOC1"/>
        <w:rPr>
          <w:rFonts w:ascii="Open Sans" w:eastAsiaTheme="minorEastAsia" w:hAnsi="Open Sans" w:cs="Open Sans"/>
          <w:b w:val="0"/>
          <w:caps w:val="0"/>
          <w:noProof/>
          <w:color w:val="auto"/>
          <w:szCs w:val="20"/>
          <w:lang w:eastAsia="en-GB"/>
        </w:rPr>
      </w:pPr>
      <w:hyperlink w:anchor="_Toc495660138" w:history="1">
        <w:r w:rsidR="00AF2F1A" w:rsidRPr="00F74E5A">
          <w:rPr>
            <w:rStyle w:val="Hyperlink"/>
            <w:rFonts w:ascii="Open Sans" w:hAnsi="Open Sans" w:cs="Open Sans"/>
            <w:noProof/>
            <w:szCs w:val="20"/>
          </w:rPr>
          <w:t>5</w:t>
        </w:r>
        <w:r w:rsidR="00AF2F1A" w:rsidRPr="00F74E5A">
          <w:rPr>
            <w:rFonts w:ascii="Open Sans" w:eastAsiaTheme="minorEastAsia" w:hAnsi="Open Sans" w:cs="Open Sans"/>
            <w:b w:val="0"/>
            <w:caps w:val="0"/>
            <w:noProof/>
            <w:color w:val="auto"/>
            <w:szCs w:val="20"/>
            <w:lang w:eastAsia="en-GB"/>
          </w:rPr>
          <w:tab/>
        </w:r>
        <w:r w:rsidR="00AF2F1A" w:rsidRPr="00F74E5A">
          <w:rPr>
            <w:rStyle w:val="Hyperlink"/>
            <w:rFonts w:ascii="Open Sans" w:hAnsi="Open Sans" w:cs="Open Sans"/>
            <w:noProof/>
            <w:szCs w:val="20"/>
          </w:rPr>
          <w:t>Maximising the potential of Anchor procurement</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_Toc495660138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11</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39" w:history="1">
        <w:r w:rsidR="00AF2F1A" w:rsidRPr="00F74E5A">
          <w:rPr>
            <w:rStyle w:val="Hyperlink"/>
            <w:rFonts w:ascii="Open Sans" w:hAnsi="Open Sans" w:cs="Open Sans"/>
            <w:noProof/>
            <w:szCs w:val="20"/>
          </w:rPr>
          <w:t>5.1</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Analysing procurement spend</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_Toc495660139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11</w:t>
        </w:r>
        <w:r w:rsidR="00AF2F1A" w:rsidRPr="00F74E5A">
          <w:rPr>
            <w:rFonts w:ascii="Open Sans" w:hAnsi="Open Sans" w:cs="Open Sans"/>
            <w:noProof/>
            <w:szCs w:val="20"/>
          </w:rPr>
          <w:fldChar w:fldCharType="end"/>
        </w:r>
      </w:hyperlink>
    </w:p>
    <w:p w:rsidR="00AF2F1A" w:rsidRPr="00F74E5A" w:rsidRDefault="00F05593">
      <w:pPr>
        <w:pStyle w:val="TOC3"/>
        <w:tabs>
          <w:tab w:val="left" w:pos="2051"/>
        </w:tabs>
        <w:rPr>
          <w:rFonts w:ascii="Open Sans" w:eastAsiaTheme="minorEastAsia" w:hAnsi="Open Sans" w:cs="Open Sans"/>
          <w:noProof/>
          <w:szCs w:val="20"/>
          <w:lang w:eastAsia="en-GB"/>
        </w:rPr>
      </w:pPr>
      <w:hyperlink w:anchor="_Toc495660140" w:history="1">
        <w:r w:rsidR="00AF2F1A" w:rsidRPr="00F74E5A">
          <w:rPr>
            <w:rStyle w:val="Hyperlink"/>
            <w:rFonts w:ascii="Open Sans" w:hAnsi="Open Sans" w:cs="Open Sans"/>
            <w:noProof/>
            <w:szCs w:val="20"/>
          </w:rPr>
          <w:t>5.1.1</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Mapping spend</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_Toc495660140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11</w:t>
        </w:r>
        <w:r w:rsidR="00AF2F1A" w:rsidRPr="00F74E5A">
          <w:rPr>
            <w:rFonts w:ascii="Open Sans" w:hAnsi="Open Sans" w:cs="Open Sans"/>
            <w:noProof/>
            <w:szCs w:val="20"/>
          </w:rPr>
          <w:fldChar w:fldCharType="end"/>
        </w:r>
      </w:hyperlink>
    </w:p>
    <w:p w:rsidR="00AF2F1A" w:rsidRPr="00F74E5A" w:rsidRDefault="00F05593">
      <w:pPr>
        <w:pStyle w:val="TOC3"/>
        <w:tabs>
          <w:tab w:val="left" w:pos="2051"/>
        </w:tabs>
        <w:rPr>
          <w:rFonts w:ascii="Open Sans" w:eastAsiaTheme="minorEastAsia" w:hAnsi="Open Sans" w:cs="Open Sans"/>
          <w:noProof/>
          <w:szCs w:val="20"/>
          <w:lang w:eastAsia="en-GB"/>
        </w:rPr>
      </w:pPr>
      <w:hyperlink w:anchor="_Toc495660141" w:history="1">
        <w:r w:rsidR="00AF2F1A" w:rsidRPr="00F74E5A">
          <w:rPr>
            <w:rStyle w:val="Hyperlink"/>
            <w:rFonts w:ascii="Open Sans" w:hAnsi="Open Sans" w:cs="Open Sans"/>
            <w:noProof/>
            <w:szCs w:val="20"/>
          </w:rPr>
          <w:t>5.1.2</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Identifying influenceable spend</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_Toc495660141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11</w:t>
        </w:r>
        <w:r w:rsidR="00AF2F1A" w:rsidRPr="00F74E5A">
          <w:rPr>
            <w:rFonts w:ascii="Open Sans" w:hAnsi="Open Sans" w:cs="Open Sans"/>
            <w:noProof/>
            <w:szCs w:val="20"/>
          </w:rPr>
          <w:fldChar w:fldCharType="end"/>
        </w:r>
      </w:hyperlink>
    </w:p>
    <w:p w:rsidR="00AF2F1A" w:rsidRPr="00F74E5A" w:rsidRDefault="00F05593">
      <w:pPr>
        <w:pStyle w:val="TOC3"/>
        <w:tabs>
          <w:tab w:val="left" w:pos="2051"/>
        </w:tabs>
        <w:rPr>
          <w:rFonts w:ascii="Open Sans" w:eastAsiaTheme="minorEastAsia" w:hAnsi="Open Sans" w:cs="Open Sans"/>
          <w:noProof/>
          <w:szCs w:val="20"/>
          <w:lang w:eastAsia="en-GB"/>
        </w:rPr>
      </w:pPr>
      <w:hyperlink w:anchor="_Toc495660142" w:history="1">
        <w:r w:rsidR="00AF2F1A" w:rsidRPr="00F74E5A">
          <w:rPr>
            <w:rStyle w:val="Hyperlink"/>
            <w:rFonts w:ascii="Open Sans" w:hAnsi="Open Sans" w:cs="Open Sans"/>
            <w:noProof/>
            <w:szCs w:val="20"/>
          </w:rPr>
          <w:t>5.1.3</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Gap analysis</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_Toc495660142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11</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43" w:history="1">
        <w:r w:rsidR="00AF2F1A" w:rsidRPr="00F74E5A">
          <w:rPr>
            <w:rStyle w:val="Hyperlink"/>
            <w:rFonts w:ascii="Open Sans" w:hAnsi="Open Sans" w:cs="Open Sans"/>
            <w:noProof/>
            <w:szCs w:val="20"/>
          </w:rPr>
          <w:t>5.2</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Identifying local businesses as potential suppliers</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_Toc495660143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12</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44" w:history="1">
        <w:r w:rsidR="00AF2F1A" w:rsidRPr="00F74E5A">
          <w:rPr>
            <w:rStyle w:val="Hyperlink"/>
            <w:rFonts w:ascii="Open Sans" w:hAnsi="Open Sans" w:cs="Open Sans"/>
            <w:noProof/>
            <w:szCs w:val="20"/>
          </w:rPr>
          <w:t>5.3</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Developing pre-procurement engagement</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_Toc495660144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12</w:t>
        </w:r>
        <w:r w:rsidR="00AF2F1A" w:rsidRPr="00F74E5A">
          <w:rPr>
            <w:rFonts w:ascii="Open Sans" w:hAnsi="Open Sans" w:cs="Open Sans"/>
            <w:noProof/>
            <w:szCs w:val="20"/>
          </w:rPr>
          <w:fldChar w:fldCharType="end"/>
        </w:r>
      </w:hyperlink>
    </w:p>
    <w:p w:rsidR="00AF2F1A" w:rsidRPr="00F74E5A" w:rsidRDefault="00F05593">
      <w:pPr>
        <w:pStyle w:val="TOC1"/>
        <w:rPr>
          <w:rFonts w:ascii="Open Sans" w:eastAsiaTheme="minorEastAsia" w:hAnsi="Open Sans" w:cs="Open Sans"/>
          <w:b w:val="0"/>
          <w:caps w:val="0"/>
          <w:noProof/>
          <w:color w:val="auto"/>
          <w:szCs w:val="20"/>
          <w:lang w:eastAsia="en-GB"/>
        </w:rPr>
      </w:pPr>
      <w:hyperlink w:anchor="_Toc495660145" w:history="1">
        <w:r w:rsidR="00AF2F1A" w:rsidRPr="00F74E5A">
          <w:rPr>
            <w:rStyle w:val="Hyperlink"/>
            <w:rFonts w:ascii="Open Sans" w:hAnsi="Open Sans" w:cs="Open Sans"/>
            <w:noProof/>
            <w:szCs w:val="20"/>
          </w:rPr>
          <w:t>6</w:t>
        </w:r>
        <w:r w:rsidR="00AF2F1A" w:rsidRPr="00F74E5A">
          <w:rPr>
            <w:rFonts w:ascii="Open Sans" w:eastAsiaTheme="minorEastAsia" w:hAnsi="Open Sans" w:cs="Open Sans"/>
            <w:b w:val="0"/>
            <w:caps w:val="0"/>
            <w:noProof/>
            <w:color w:val="auto"/>
            <w:szCs w:val="20"/>
            <w:lang w:eastAsia="en-GB"/>
          </w:rPr>
          <w:tab/>
        </w:r>
        <w:r w:rsidR="00AF2F1A" w:rsidRPr="00F74E5A">
          <w:rPr>
            <w:rStyle w:val="Hyperlink"/>
            <w:rFonts w:ascii="Open Sans" w:hAnsi="Open Sans" w:cs="Open Sans"/>
            <w:noProof/>
            <w:szCs w:val="20"/>
          </w:rPr>
          <w:t>Maximising the potential of Anchor land &amp; assets</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_Toc495660145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13</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46" w:history="1">
        <w:r w:rsidR="00AF2F1A" w:rsidRPr="00F74E5A">
          <w:rPr>
            <w:rStyle w:val="Hyperlink"/>
            <w:rFonts w:ascii="Open Sans" w:hAnsi="Open Sans" w:cs="Open Sans"/>
            <w:noProof/>
            <w:szCs w:val="20"/>
          </w:rPr>
          <w:t>6.1</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Identifying underutilised assets</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_Toc495660146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13</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47" w:history="1">
        <w:r w:rsidR="00AF2F1A" w:rsidRPr="00F74E5A">
          <w:rPr>
            <w:rStyle w:val="Hyperlink"/>
            <w:rFonts w:ascii="Open Sans" w:hAnsi="Open Sans" w:cs="Open Sans"/>
            <w:noProof/>
            <w:szCs w:val="20"/>
          </w:rPr>
          <w:t>6.2</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Planning for community-led development</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_Toc495660147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13</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48" w:history="1">
        <w:r w:rsidR="00AF2F1A" w:rsidRPr="00F74E5A">
          <w:rPr>
            <w:rStyle w:val="Hyperlink"/>
            <w:rFonts w:ascii="Open Sans" w:hAnsi="Open Sans" w:cs="Open Sans"/>
            <w:noProof/>
            <w:szCs w:val="20"/>
          </w:rPr>
          <w:t>6.3</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Asset Based Community Development</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_Toc495660148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13</w:t>
        </w:r>
        <w:r w:rsidR="00AF2F1A" w:rsidRPr="00F74E5A">
          <w:rPr>
            <w:rFonts w:ascii="Open Sans" w:hAnsi="Open Sans" w:cs="Open Sans"/>
            <w:noProof/>
            <w:szCs w:val="20"/>
          </w:rPr>
          <w:fldChar w:fldCharType="end"/>
        </w:r>
      </w:hyperlink>
    </w:p>
    <w:p w:rsidR="00AF2F1A" w:rsidRPr="00F74E5A" w:rsidRDefault="00F05593">
      <w:pPr>
        <w:pStyle w:val="TOC3"/>
        <w:tabs>
          <w:tab w:val="left" w:pos="2051"/>
        </w:tabs>
        <w:rPr>
          <w:rFonts w:ascii="Open Sans" w:eastAsiaTheme="minorEastAsia" w:hAnsi="Open Sans" w:cs="Open Sans"/>
          <w:noProof/>
          <w:szCs w:val="20"/>
          <w:lang w:eastAsia="en-GB"/>
        </w:rPr>
      </w:pPr>
      <w:hyperlink w:anchor="_Toc495660149" w:history="1">
        <w:r w:rsidR="00AF2F1A" w:rsidRPr="00F74E5A">
          <w:rPr>
            <w:rStyle w:val="Hyperlink"/>
            <w:rFonts w:ascii="Open Sans" w:hAnsi="Open Sans" w:cs="Open Sans"/>
            <w:noProof/>
            <w:szCs w:val="20"/>
          </w:rPr>
          <w:t>6.3.1</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Third sector service delivery</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_Toc495660149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14</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50" w:history="1">
        <w:r w:rsidR="00AF2F1A" w:rsidRPr="00F74E5A">
          <w:rPr>
            <w:rStyle w:val="Hyperlink"/>
            <w:rFonts w:ascii="Open Sans" w:hAnsi="Open Sans" w:cs="Open Sans"/>
            <w:noProof/>
            <w:szCs w:val="20"/>
          </w:rPr>
          <w:t>6.4</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Community Land Trusts</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_Toc495660150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14</w:t>
        </w:r>
        <w:r w:rsidR="00AF2F1A" w:rsidRPr="00F74E5A">
          <w:rPr>
            <w:rFonts w:ascii="Open Sans" w:hAnsi="Open Sans" w:cs="Open Sans"/>
            <w:noProof/>
            <w:szCs w:val="20"/>
          </w:rPr>
          <w:fldChar w:fldCharType="end"/>
        </w:r>
      </w:hyperlink>
    </w:p>
    <w:p w:rsidR="00AF2F1A" w:rsidRPr="00F74E5A" w:rsidRDefault="00F05593">
      <w:pPr>
        <w:pStyle w:val="TOC1"/>
        <w:rPr>
          <w:rFonts w:ascii="Open Sans" w:eastAsiaTheme="minorEastAsia" w:hAnsi="Open Sans" w:cs="Open Sans"/>
          <w:b w:val="0"/>
          <w:caps w:val="0"/>
          <w:noProof/>
          <w:color w:val="auto"/>
          <w:szCs w:val="20"/>
          <w:lang w:eastAsia="en-GB"/>
        </w:rPr>
      </w:pPr>
      <w:hyperlink w:anchor="_Toc495660151" w:history="1">
        <w:r w:rsidR="00AF2F1A" w:rsidRPr="00F74E5A">
          <w:rPr>
            <w:rStyle w:val="Hyperlink"/>
            <w:rFonts w:ascii="Open Sans" w:hAnsi="Open Sans" w:cs="Open Sans"/>
            <w:noProof/>
            <w:szCs w:val="20"/>
          </w:rPr>
          <w:t>7</w:t>
        </w:r>
        <w:r w:rsidR="00AF2F1A" w:rsidRPr="00F74E5A">
          <w:rPr>
            <w:rFonts w:ascii="Open Sans" w:eastAsiaTheme="minorEastAsia" w:hAnsi="Open Sans" w:cs="Open Sans"/>
            <w:b w:val="0"/>
            <w:caps w:val="0"/>
            <w:noProof/>
            <w:color w:val="auto"/>
            <w:szCs w:val="20"/>
            <w:lang w:eastAsia="en-GB"/>
          </w:rPr>
          <w:tab/>
        </w:r>
        <w:r w:rsidR="00AF2F1A" w:rsidRPr="00F74E5A">
          <w:rPr>
            <w:rStyle w:val="Hyperlink"/>
            <w:rFonts w:ascii="Open Sans" w:hAnsi="Open Sans" w:cs="Open Sans"/>
            <w:noProof/>
            <w:szCs w:val="20"/>
          </w:rPr>
          <w:t>Maximising the potential of Anchor training and employment</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_Toc495660151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15</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52" w:history="1">
        <w:r w:rsidR="00AF2F1A" w:rsidRPr="00F74E5A">
          <w:rPr>
            <w:rStyle w:val="Hyperlink"/>
            <w:rFonts w:ascii="Open Sans" w:hAnsi="Open Sans" w:cs="Open Sans"/>
            <w:noProof/>
            <w:szCs w:val="20"/>
          </w:rPr>
          <w:t>7.1</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Developing opportunities for local people</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_Toc495660152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15</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53" w:history="1">
        <w:r w:rsidR="00AF2F1A" w:rsidRPr="00F74E5A">
          <w:rPr>
            <w:rStyle w:val="Hyperlink"/>
            <w:rFonts w:ascii="Open Sans" w:hAnsi="Open Sans" w:cs="Open Sans"/>
            <w:noProof/>
            <w:szCs w:val="20"/>
          </w:rPr>
          <w:t>7.2</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Progressing staff</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_Toc495660153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15</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54" w:history="1">
        <w:r w:rsidR="00AF2F1A" w:rsidRPr="00F74E5A">
          <w:rPr>
            <w:rStyle w:val="Hyperlink"/>
            <w:rFonts w:ascii="Open Sans" w:hAnsi="Open Sans" w:cs="Open Sans"/>
            <w:noProof/>
            <w:szCs w:val="20"/>
          </w:rPr>
          <w:t>7.3</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Developing progression routes across Anchors</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_Toc495660154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15</w:t>
        </w:r>
        <w:r w:rsidR="00AF2F1A" w:rsidRPr="00F74E5A">
          <w:rPr>
            <w:rFonts w:ascii="Open Sans" w:hAnsi="Open Sans" w:cs="Open Sans"/>
            <w:noProof/>
            <w:szCs w:val="20"/>
          </w:rPr>
          <w:fldChar w:fldCharType="end"/>
        </w:r>
      </w:hyperlink>
    </w:p>
    <w:p w:rsidR="00AF2F1A" w:rsidRPr="00F74E5A" w:rsidRDefault="00F05593">
      <w:pPr>
        <w:pStyle w:val="TOC1"/>
        <w:rPr>
          <w:rFonts w:ascii="Open Sans" w:eastAsiaTheme="minorEastAsia" w:hAnsi="Open Sans" w:cs="Open Sans"/>
          <w:b w:val="0"/>
          <w:caps w:val="0"/>
          <w:noProof/>
          <w:color w:val="auto"/>
          <w:szCs w:val="20"/>
          <w:lang w:eastAsia="en-GB"/>
        </w:rPr>
      </w:pPr>
      <w:hyperlink w:anchor="_Toc495660155" w:history="1">
        <w:r w:rsidR="00AF2F1A" w:rsidRPr="00F74E5A">
          <w:rPr>
            <w:rStyle w:val="Hyperlink"/>
            <w:rFonts w:ascii="Open Sans" w:hAnsi="Open Sans" w:cs="Open Sans"/>
            <w:noProof/>
            <w:szCs w:val="20"/>
          </w:rPr>
          <w:t>8</w:t>
        </w:r>
        <w:r w:rsidR="00AF2F1A" w:rsidRPr="00F74E5A">
          <w:rPr>
            <w:rFonts w:ascii="Open Sans" w:eastAsiaTheme="minorEastAsia" w:hAnsi="Open Sans" w:cs="Open Sans"/>
            <w:b w:val="0"/>
            <w:caps w:val="0"/>
            <w:noProof/>
            <w:color w:val="auto"/>
            <w:szCs w:val="20"/>
            <w:lang w:eastAsia="en-GB"/>
          </w:rPr>
          <w:tab/>
        </w:r>
        <w:r w:rsidR="00AF2F1A" w:rsidRPr="00F74E5A">
          <w:rPr>
            <w:rStyle w:val="Hyperlink"/>
            <w:rFonts w:ascii="Open Sans" w:hAnsi="Open Sans" w:cs="Open Sans"/>
            <w:noProof/>
            <w:szCs w:val="20"/>
          </w:rPr>
          <w:t>Maximising the local impacts of local business</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_Toc495660155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16</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56" w:history="1">
        <w:r w:rsidR="00AF2F1A" w:rsidRPr="00F74E5A">
          <w:rPr>
            <w:rStyle w:val="Hyperlink"/>
            <w:rFonts w:ascii="Open Sans" w:hAnsi="Open Sans" w:cs="Open Sans"/>
            <w:noProof/>
            <w:szCs w:val="20"/>
          </w:rPr>
          <w:t>8.1</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Analysing supplier social value and local re-spend</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_Toc495660156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16</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57" w:history="1">
        <w:r w:rsidR="00AF2F1A" w:rsidRPr="00F74E5A">
          <w:rPr>
            <w:rStyle w:val="Hyperlink"/>
            <w:rFonts w:ascii="Open Sans" w:hAnsi="Open Sans" w:cs="Open Sans"/>
            <w:noProof/>
            <w:szCs w:val="20"/>
          </w:rPr>
          <w:t>8.2</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Developing business citizenship</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_Toc495660157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16</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58" w:history="1">
        <w:r w:rsidR="00AF2F1A" w:rsidRPr="00F74E5A">
          <w:rPr>
            <w:rStyle w:val="Hyperlink"/>
            <w:rFonts w:ascii="Open Sans" w:hAnsi="Open Sans" w:cs="Open Sans"/>
            <w:noProof/>
            <w:szCs w:val="20"/>
          </w:rPr>
          <w:t>8.3</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Local employment charters</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_Toc495660158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16</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59" w:history="1">
        <w:r w:rsidR="00AF2F1A" w:rsidRPr="00F74E5A">
          <w:rPr>
            <w:rStyle w:val="Hyperlink"/>
            <w:rFonts w:ascii="Open Sans" w:hAnsi="Open Sans" w:cs="Open Sans"/>
            <w:noProof/>
            <w:szCs w:val="20"/>
          </w:rPr>
          <w:t>8.4</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Promote take-up of business leadership and management skills</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_Toc495660159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17</w:t>
        </w:r>
        <w:r w:rsidR="00AF2F1A" w:rsidRPr="00F74E5A">
          <w:rPr>
            <w:rFonts w:ascii="Open Sans" w:hAnsi="Open Sans" w:cs="Open Sans"/>
            <w:noProof/>
            <w:szCs w:val="20"/>
          </w:rPr>
          <w:fldChar w:fldCharType="end"/>
        </w:r>
      </w:hyperlink>
    </w:p>
    <w:p w:rsidR="00AF2F1A" w:rsidRPr="00F74E5A" w:rsidRDefault="00F05593">
      <w:pPr>
        <w:pStyle w:val="TOC1"/>
        <w:rPr>
          <w:rFonts w:ascii="Open Sans" w:eastAsiaTheme="minorEastAsia" w:hAnsi="Open Sans" w:cs="Open Sans"/>
          <w:b w:val="0"/>
          <w:caps w:val="0"/>
          <w:noProof/>
          <w:color w:val="auto"/>
          <w:szCs w:val="20"/>
          <w:lang w:eastAsia="en-GB"/>
        </w:rPr>
      </w:pPr>
      <w:hyperlink w:anchor="_Toc495660160" w:history="1">
        <w:r w:rsidR="00AF2F1A" w:rsidRPr="00F74E5A">
          <w:rPr>
            <w:rStyle w:val="Hyperlink"/>
            <w:rFonts w:ascii="Open Sans" w:hAnsi="Open Sans" w:cs="Open Sans"/>
            <w:noProof/>
            <w:szCs w:val="20"/>
          </w:rPr>
          <w:t>9</w:t>
        </w:r>
        <w:r w:rsidR="00AF2F1A" w:rsidRPr="00F74E5A">
          <w:rPr>
            <w:rFonts w:ascii="Open Sans" w:eastAsiaTheme="minorEastAsia" w:hAnsi="Open Sans" w:cs="Open Sans"/>
            <w:b w:val="0"/>
            <w:caps w:val="0"/>
            <w:noProof/>
            <w:color w:val="auto"/>
            <w:szCs w:val="20"/>
            <w:lang w:eastAsia="en-GB"/>
          </w:rPr>
          <w:tab/>
        </w:r>
        <w:r w:rsidR="00AF2F1A" w:rsidRPr="00F74E5A">
          <w:rPr>
            <w:rStyle w:val="Hyperlink"/>
            <w:rFonts w:ascii="Open Sans" w:hAnsi="Open Sans" w:cs="Open Sans"/>
            <w:noProof/>
            <w:szCs w:val="20"/>
          </w:rPr>
          <w:t>Stimulating new local social business</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_Toc495660160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18</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61" w:history="1">
        <w:r w:rsidR="00AF2F1A" w:rsidRPr="00F74E5A">
          <w:rPr>
            <w:rStyle w:val="Hyperlink"/>
            <w:rFonts w:ascii="Open Sans" w:hAnsi="Open Sans" w:cs="Open Sans"/>
            <w:noProof/>
            <w:szCs w:val="20"/>
          </w:rPr>
          <w:t>9.1</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Developing social business models</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_Toc495660161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18</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62" w:history="1">
        <w:r w:rsidR="00AF2F1A" w:rsidRPr="00F74E5A">
          <w:rPr>
            <w:rStyle w:val="Hyperlink"/>
            <w:rFonts w:ascii="Open Sans" w:hAnsi="Open Sans" w:cs="Open Sans"/>
            <w:noProof/>
            <w:szCs w:val="20"/>
          </w:rPr>
          <w:t>9.2</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Building entrepreneurship in deprived communities</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_Toc495660162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19</w:t>
        </w:r>
        <w:r w:rsidR="00AF2F1A" w:rsidRPr="00F74E5A">
          <w:rPr>
            <w:rFonts w:ascii="Open Sans" w:hAnsi="Open Sans" w:cs="Open Sans"/>
            <w:noProof/>
            <w:szCs w:val="20"/>
          </w:rPr>
          <w:fldChar w:fldCharType="end"/>
        </w:r>
      </w:hyperlink>
    </w:p>
    <w:p w:rsidR="00AF2F1A" w:rsidRPr="00F74E5A" w:rsidRDefault="00F05593">
      <w:pPr>
        <w:pStyle w:val="TOC1"/>
        <w:rPr>
          <w:rFonts w:ascii="Open Sans" w:eastAsiaTheme="minorEastAsia" w:hAnsi="Open Sans" w:cs="Open Sans"/>
          <w:b w:val="0"/>
          <w:caps w:val="0"/>
          <w:noProof/>
          <w:color w:val="auto"/>
          <w:szCs w:val="20"/>
          <w:lang w:eastAsia="en-GB"/>
        </w:rPr>
      </w:pPr>
      <w:hyperlink w:anchor="_Toc495660163" w:history="1">
        <w:r w:rsidR="00AF2F1A" w:rsidRPr="00F74E5A">
          <w:rPr>
            <w:rStyle w:val="Hyperlink"/>
            <w:rFonts w:ascii="Open Sans" w:hAnsi="Open Sans" w:cs="Open Sans"/>
            <w:noProof/>
            <w:szCs w:val="20"/>
          </w:rPr>
          <w:t>10</w:t>
        </w:r>
        <w:r w:rsidR="00AF2F1A" w:rsidRPr="00F74E5A">
          <w:rPr>
            <w:rFonts w:ascii="Open Sans" w:eastAsiaTheme="minorEastAsia" w:hAnsi="Open Sans" w:cs="Open Sans"/>
            <w:b w:val="0"/>
            <w:caps w:val="0"/>
            <w:noProof/>
            <w:color w:val="auto"/>
            <w:szCs w:val="20"/>
            <w:lang w:eastAsia="en-GB"/>
          </w:rPr>
          <w:tab/>
        </w:r>
        <w:r w:rsidR="00AF2F1A" w:rsidRPr="00F74E5A">
          <w:rPr>
            <w:rStyle w:val="Hyperlink"/>
            <w:rFonts w:ascii="Open Sans" w:hAnsi="Open Sans" w:cs="Open Sans"/>
            <w:noProof/>
            <w:szCs w:val="20"/>
          </w:rPr>
          <w:t>Measuring impact</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_Toc495660163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20</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64" w:history="1">
        <w:r w:rsidR="00AF2F1A" w:rsidRPr="00F74E5A">
          <w:rPr>
            <w:rStyle w:val="Hyperlink"/>
            <w:rFonts w:ascii="Open Sans" w:hAnsi="Open Sans" w:cs="Open Sans"/>
            <w:noProof/>
            <w:szCs w:val="20"/>
          </w:rPr>
          <w:t>10.1</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Setting an evidence baseline</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_Toc495660164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20</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65" w:history="1">
        <w:r w:rsidR="00AF2F1A" w:rsidRPr="00F74E5A">
          <w:rPr>
            <w:rStyle w:val="Hyperlink"/>
            <w:rFonts w:ascii="Open Sans" w:hAnsi="Open Sans" w:cs="Open Sans"/>
            <w:noProof/>
            <w:szCs w:val="20"/>
          </w:rPr>
          <w:t>10.2</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Developing an impact measurement framework</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_Toc495660165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20</w:t>
        </w:r>
        <w:r w:rsidR="00AF2F1A" w:rsidRPr="00F74E5A">
          <w:rPr>
            <w:rFonts w:ascii="Open Sans" w:hAnsi="Open Sans" w:cs="Open Sans"/>
            <w:noProof/>
            <w:szCs w:val="20"/>
          </w:rPr>
          <w:fldChar w:fldCharType="end"/>
        </w:r>
      </w:hyperlink>
    </w:p>
    <w:p w:rsidR="00AF2F1A" w:rsidRPr="00F74E5A" w:rsidRDefault="00F05593">
      <w:pPr>
        <w:pStyle w:val="TOC2"/>
        <w:rPr>
          <w:rFonts w:ascii="Open Sans" w:eastAsiaTheme="minorEastAsia" w:hAnsi="Open Sans" w:cs="Open Sans"/>
          <w:noProof/>
          <w:szCs w:val="20"/>
          <w:lang w:eastAsia="en-GB"/>
        </w:rPr>
      </w:pPr>
      <w:hyperlink w:anchor="_Toc495660166" w:history="1">
        <w:r w:rsidR="00AF2F1A" w:rsidRPr="00F74E5A">
          <w:rPr>
            <w:rStyle w:val="Hyperlink"/>
            <w:rFonts w:ascii="Open Sans" w:hAnsi="Open Sans" w:cs="Open Sans"/>
            <w:noProof/>
            <w:szCs w:val="20"/>
          </w:rPr>
          <w:t>10.3</w:t>
        </w:r>
        <w:r w:rsidR="00AF2F1A" w:rsidRPr="00F74E5A">
          <w:rPr>
            <w:rFonts w:ascii="Open Sans" w:eastAsiaTheme="minorEastAsia" w:hAnsi="Open Sans" w:cs="Open Sans"/>
            <w:noProof/>
            <w:szCs w:val="20"/>
            <w:lang w:eastAsia="en-GB"/>
          </w:rPr>
          <w:tab/>
        </w:r>
        <w:r w:rsidR="00AF2F1A" w:rsidRPr="00F74E5A">
          <w:rPr>
            <w:rStyle w:val="Hyperlink"/>
            <w:rFonts w:ascii="Open Sans" w:hAnsi="Open Sans" w:cs="Open Sans"/>
            <w:noProof/>
            <w:szCs w:val="20"/>
          </w:rPr>
          <w:t>Evaluating impacts</w:t>
        </w:r>
        <w:r w:rsidR="00AF2F1A" w:rsidRPr="00F74E5A">
          <w:rPr>
            <w:rFonts w:ascii="Open Sans" w:hAnsi="Open Sans" w:cs="Open Sans"/>
            <w:noProof/>
            <w:szCs w:val="20"/>
          </w:rPr>
          <w:tab/>
        </w:r>
        <w:r w:rsidR="00AF2F1A" w:rsidRPr="00F74E5A">
          <w:rPr>
            <w:rFonts w:ascii="Open Sans" w:hAnsi="Open Sans" w:cs="Open Sans"/>
            <w:noProof/>
            <w:szCs w:val="20"/>
          </w:rPr>
          <w:fldChar w:fldCharType="begin"/>
        </w:r>
        <w:r w:rsidR="00AF2F1A" w:rsidRPr="00F74E5A">
          <w:rPr>
            <w:rFonts w:ascii="Open Sans" w:hAnsi="Open Sans" w:cs="Open Sans"/>
            <w:noProof/>
            <w:szCs w:val="20"/>
          </w:rPr>
          <w:instrText xml:space="preserve"> PAGEREF _Toc495660166 \h </w:instrText>
        </w:r>
        <w:r w:rsidR="00AF2F1A" w:rsidRPr="00F74E5A">
          <w:rPr>
            <w:rFonts w:ascii="Open Sans" w:hAnsi="Open Sans" w:cs="Open Sans"/>
            <w:noProof/>
            <w:szCs w:val="20"/>
          </w:rPr>
        </w:r>
        <w:r w:rsidR="00AF2F1A" w:rsidRPr="00F74E5A">
          <w:rPr>
            <w:rFonts w:ascii="Open Sans" w:hAnsi="Open Sans" w:cs="Open Sans"/>
            <w:noProof/>
            <w:szCs w:val="20"/>
          </w:rPr>
          <w:fldChar w:fldCharType="separate"/>
        </w:r>
        <w:r w:rsidR="00DD073D">
          <w:rPr>
            <w:rFonts w:ascii="Open Sans" w:hAnsi="Open Sans" w:cs="Open Sans"/>
            <w:noProof/>
            <w:szCs w:val="20"/>
          </w:rPr>
          <w:t>20</w:t>
        </w:r>
        <w:r w:rsidR="00AF2F1A" w:rsidRPr="00F74E5A">
          <w:rPr>
            <w:rFonts w:ascii="Open Sans" w:hAnsi="Open Sans" w:cs="Open Sans"/>
            <w:noProof/>
            <w:szCs w:val="20"/>
          </w:rPr>
          <w:fldChar w:fldCharType="end"/>
        </w:r>
      </w:hyperlink>
    </w:p>
    <w:p w:rsidR="00421C47" w:rsidRPr="00047C78" w:rsidRDefault="00A621DF" w:rsidP="00047C78">
      <w:pPr>
        <w:pStyle w:val="Heading1"/>
        <w:rPr>
          <w:rFonts w:ascii="Open Sans" w:hAnsi="Open Sans" w:cs="Open Sans"/>
        </w:rPr>
      </w:pPr>
      <w:r w:rsidRPr="00F74E5A">
        <w:rPr>
          <w:rFonts w:ascii="Open Sans" w:hAnsi="Open Sans" w:cs="Open Sans"/>
          <w:sz w:val="20"/>
          <w:szCs w:val="20"/>
        </w:rPr>
        <w:lastRenderedPageBreak/>
        <w:fldChar w:fldCharType="end"/>
      </w:r>
      <w:bookmarkStart w:id="1" w:name="_Toc495660119"/>
      <w:r w:rsidR="009401B1" w:rsidRPr="00047C78">
        <w:rPr>
          <w:rFonts w:ascii="Open Sans" w:hAnsi="Open Sans" w:cs="Open Sans"/>
        </w:rPr>
        <w:t>I</w:t>
      </w:r>
      <w:r w:rsidR="00421C47" w:rsidRPr="00047C78">
        <w:rPr>
          <w:rFonts w:ascii="Open Sans" w:hAnsi="Open Sans" w:cs="Open Sans"/>
        </w:rPr>
        <w:t>ntroduction</w:t>
      </w:r>
      <w:bookmarkEnd w:id="1"/>
    </w:p>
    <w:p w:rsidR="0061317F" w:rsidRPr="0061317F" w:rsidRDefault="0061317F" w:rsidP="0061317F">
      <w:pPr>
        <w:pStyle w:val="BodyText"/>
        <w:rPr>
          <w:rFonts w:ascii="Open Sans" w:hAnsi="Open Sans" w:cs="Open Sans"/>
        </w:rPr>
      </w:pPr>
      <w:r w:rsidRPr="0061317F">
        <w:rPr>
          <w:rFonts w:ascii="Open Sans" w:hAnsi="Open Sans" w:cs="Open Sans"/>
        </w:rPr>
        <w:t xml:space="preserve">This </w:t>
      </w:r>
      <w:r>
        <w:rPr>
          <w:rFonts w:ascii="Open Sans" w:hAnsi="Open Sans" w:cs="Open Sans"/>
        </w:rPr>
        <w:t>document provides a</w:t>
      </w:r>
      <w:r w:rsidRPr="0061317F">
        <w:rPr>
          <w:rFonts w:ascii="Open Sans" w:hAnsi="Open Sans" w:cs="Open Sans"/>
        </w:rPr>
        <w:t xml:space="preserve"> pra</w:t>
      </w:r>
      <w:r>
        <w:rPr>
          <w:rFonts w:ascii="Open Sans" w:hAnsi="Open Sans" w:cs="Open Sans"/>
        </w:rPr>
        <w:t>ctical guide and road map for building community wealth via</w:t>
      </w:r>
      <w:r w:rsidRPr="0061317F">
        <w:rPr>
          <w:rFonts w:ascii="Open Sans" w:hAnsi="Open Sans" w:cs="Open Sans"/>
        </w:rPr>
        <w:t xml:space="preserve"> an A</w:t>
      </w:r>
      <w:r>
        <w:rPr>
          <w:rFonts w:ascii="Open Sans" w:hAnsi="Open Sans" w:cs="Open Sans"/>
        </w:rPr>
        <w:t>nchor Institution Strategy</w:t>
      </w:r>
      <w:r w:rsidRPr="0061317F">
        <w:rPr>
          <w:rFonts w:ascii="Open Sans" w:hAnsi="Open Sans" w:cs="Open Sans"/>
        </w:rPr>
        <w:t xml:space="preserve"> in Doncaster</w:t>
      </w:r>
      <w:r>
        <w:rPr>
          <w:rFonts w:ascii="Open Sans" w:hAnsi="Open Sans" w:cs="Open Sans"/>
        </w:rPr>
        <w:t>, and is</w:t>
      </w:r>
      <w:r w:rsidRPr="0061317F">
        <w:rPr>
          <w:rFonts w:ascii="Open Sans" w:hAnsi="Open Sans" w:cs="Open Sans"/>
        </w:rPr>
        <w:t xml:space="preserve"> based on the experience of CLES</w:t>
      </w:r>
      <w:r w:rsidR="00CB291F">
        <w:rPr>
          <w:rFonts w:ascii="Open Sans" w:hAnsi="Open Sans" w:cs="Open Sans"/>
        </w:rPr>
        <w:t>’</w:t>
      </w:r>
      <w:r w:rsidRPr="0061317F">
        <w:rPr>
          <w:rFonts w:ascii="Open Sans" w:hAnsi="Open Sans" w:cs="Open Sans"/>
        </w:rPr>
        <w:t xml:space="preserve"> work </w:t>
      </w:r>
      <w:r>
        <w:rPr>
          <w:rFonts w:ascii="Open Sans" w:hAnsi="Open Sans" w:cs="Open Sans"/>
        </w:rPr>
        <w:t>across the country</w:t>
      </w:r>
      <w:r w:rsidR="00CB291F">
        <w:rPr>
          <w:rFonts w:ascii="Open Sans" w:hAnsi="Open Sans" w:cs="Open Sans"/>
        </w:rPr>
        <w:t xml:space="preserve"> and internationally</w:t>
      </w:r>
      <w:r w:rsidR="008A2AE9">
        <w:rPr>
          <w:rFonts w:ascii="Open Sans" w:hAnsi="Open Sans" w:cs="Open Sans"/>
        </w:rPr>
        <w:t>,</w:t>
      </w:r>
      <w:r>
        <w:rPr>
          <w:rFonts w:ascii="Open Sans" w:hAnsi="Open Sans" w:cs="Open Sans"/>
        </w:rPr>
        <w:t xml:space="preserve"> with a particular focus on work undertaken with anchor institutions over the past 1</w:t>
      </w:r>
      <w:r w:rsidRPr="0061317F">
        <w:rPr>
          <w:rFonts w:ascii="Open Sans" w:hAnsi="Open Sans" w:cs="Open Sans"/>
        </w:rPr>
        <w:t>0 years in Manchester, Preston, Birmingham and</w:t>
      </w:r>
      <w:r>
        <w:rPr>
          <w:rFonts w:ascii="Open Sans" w:hAnsi="Open Sans" w:cs="Open Sans"/>
        </w:rPr>
        <w:t xml:space="preserve"> most recently in</w:t>
      </w:r>
      <w:r w:rsidRPr="0061317F">
        <w:rPr>
          <w:rFonts w:ascii="Open Sans" w:hAnsi="Open Sans" w:cs="Open Sans"/>
        </w:rPr>
        <w:t xml:space="preserve"> Oldham. </w:t>
      </w:r>
      <w:r>
        <w:rPr>
          <w:rFonts w:ascii="Open Sans" w:hAnsi="Open Sans" w:cs="Open Sans"/>
        </w:rPr>
        <w:t xml:space="preserve">This document is intended as a companion document to the Doncaster Inclusive Economic Growth Strategy, which highlights anchor institutions as a vehicle for delivering more inclusive growth in Doncaster.  </w:t>
      </w:r>
    </w:p>
    <w:p w:rsidR="00821CA8" w:rsidRPr="00801970" w:rsidRDefault="00821CA8" w:rsidP="00821CA8">
      <w:pPr>
        <w:pStyle w:val="Heading2"/>
        <w:rPr>
          <w:rFonts w:ascii="Open Sans" w:hAnsi="Open Sans" w:cs="Open Sans"/>
        </w:rPr>
      </w:pPr>
      <w:bookmarkStart w:id="2" w:name="_Toc495660120"/>
      <w:r w:rsidRPr="00801970">
        <w:rPr>
          <w:rFonts w:ascii="Open Sans" w:hAnsi="Open Sans" w:cs="Open Sans"/>
        </w:rPr>
        <w:t>Community wealth building as a concept</w:t>
      </w:r>
      <w:bookmarkEnd w:id="2"/>
    </w:p>
    <w:p w:rsidR="009529A7" w:rsidRDefault="009529A7" w:rsidP="009529A7">
      <w:pPr>
        <w:pStyle w:val="BodyText"/>
        <w:rPr>
          <w:rFonts w:ascii="Open Sans" w:hAnsi="Open Sans" w:cs="Open Sans"/>
        </w:rPr>
      </w:pPr>
      <w:r w:rsidRPr="009529A7">
        <w:rPr>
          <w:rFonts w:ascii="Open Sans" w:hAnsi="Open Sans" w:cs="Open Sans"/>
        </w:rPr>
        <w:t>Places across the UK are striving to find new</w:t>
      </w:r>
      <w:r>
        <w:rPr>
          <w:rFonts w:ascii="Open Sans" w:hAnsi="Open Sans" w:cs="Open Sans"/>
        </w:rPr>
        <w:t xml:space="preserve"> ways of attracting wealth while simultaneously</w:t>
      </w:r>
      <w:r w:rsidRPr="009529A7">
        <w:rPr>
          <w:rFonts w:ascii="Open Sans" w:hAnsi="Open Sans" w:cs="Open Sans"/>
        </w:rPr>
        <w:t xml:space="preserve"> addressing poverty. </w:t>
      </w:r>
      <w:r>
        <w:rPr>
          <w:rFonts w:ascii="Open Sans" w:hAnsi="Open Sans" w:cs="Open Sans"/>
        </w:rPr>
        <w:t>Th</w:t>
      </w:r>
      <w:r w:rsidR="008022D2">
        <w:rPr>
          <w:rFonts w:ascii="Open Sans" w:hAnsi="Open Sans" w:cs="Open Sans"/>
        </w:rPr>
        <w:t>is</w:t>
      </w:r>
      <w:r>
        <w:rPr>
          <w:rFonts w:ascii="Open Sans" w:hAnsi="Open Sans" w:cs="Open Sans"/>
        </w:rPr>
        <w:t xml:space="preserve"> ‘inclusive growth’ agenda has gained significant currency in recent years, with </w:t>
      </w:r>
      <w:r w:rsidR="008022D2">
        <w:rPr>
          <w:rFonts w:ascii="Open Sans" w:hAnsi="Open Sans" w:cs="Open Sans"/>
        </w:rPr>
        <w:t xml:space="preserve">evidence of </w:t>
      </w:r>
      <w:r>
        <w:rPr>
          <w:rFonts w:ascii="Open Sans" w:hAnsi="Open Sans" w:cs="Open Sans"/>
        </w:rPr>
        <w:t>growing inequality and an increasing recognition that t</w:t>
      </w:r>
      <w:r w:rsidRPr="009529A7">
        <w:rPr>
          <w:rFonts w:ascii="Open Sans" w:hAnsi="Open Sans" w:cs="Open Sans"/>
        </w:rPr>
        <w:t>he economy</w:t>
      </w:r>
      <w:r>
        <w:rPr>
          <w:rFonts w:ascii="Open Sans" w:hAnsi="Open Sans" w:cs="Open Sans"/>
        </w:rPr>
        <w:t xml:space="preserve"> is not working for everyone. </w:t>
      </w:r>
      <w:r w:rsidRPr="009529A7">
        <w:rPr>
          <w:rFonts w:ascii="Open Sans" w:hAnsi="Open Sans" w:cs="Open Sans"/>
        </w:rPr>
        <w:t>For the Centre</w:t>
      </w:r>
      <w:r>
        <w:rPr>
          <w:rFonts w:ascii="Open Sans" w:hAnsi="Open Sans" w:cs="Open Sans"/>
        </w:rPr>
        <w:t xml:space="preserve"> </w:t>
      </w:r>
      <w:r w:rsidRPr="009529A7">
        <w:rPr>
          <w:rFonts w:ascii="Open Sans" w:hAnsi="Open Sans" w:cs="Open Sans"/>
        </w:rPr>
        <w:t>for Local Economic Strategies (CLES), the</w:t>
      </w:r>
      <w:r>
        <w:rPr>
          <w:rFonts w:ascii="Open Sans" w:hAnsi="Open Sans" w:cs="Open Sans"/>
        </w:rPr>
        <w:t xml:space="preserve"> </w:t>
      </w:r>
      <w:r w:rsidRPr="009529A7">
        <w:rPr>
          <w:rFonts w:ascii="Open Sans" w:hAnsi="Open Sans" w:cs="Open Sans"/>
        </w:rPr>
        <w:t xml:space="preserve">attraction of </w:t>
      </w:r>
      <w:r w:rsidR="008022D2">
        <w:rPr>
          <w:rFonts w:ascii="Open Sans" w:hAnsi="Open Sans" w:cs="Open Sans"/>
        </w:rPr>
        <w:t xml:space="preserve">new </w:t>
      </w:r>
      <w:r w:rsidRPr="009529A7">
        <w:rPr>
          <w:rFonts w:ascii="Open Sans" w:hAnsi="Open Sans" w:cs="Open Sans"/>
        </w:rPr>
        <w:t>w</w:t>
      </w:r>
      <w:r>
        <w:rPr>
          <w:rFonts w:ascii="Open Sans" w:hAnsi="Open Sans" w:cs="Open Sans"/>
        </w:rPr>
        <w:t xml:space="preserve">ealth is important; but of equal </w:t>
      </w:r>
      <w:r w:rsidRPr="009529A7">
        <w:rPr>
          <w:rFonts w:ascii="Open Sans" w:hAnsi="Open Sans" w:cs="Open Sans"/>
        </w:rPr>
        <w:t>importance is understanding and harnessing</w:t>
      </w:r>
      <w:r>
        <w:rPr>
          <w:rFonts w:ascii="Open Sans" w:hAnsi="Open Sans" w:cs="Open Sans"/>
        </w:rPr>
        <w:t xml:space="preserve"> </w:t>
      </w:r>
      <w:r w:rsidRPr="009529A7">
        <w:rPr>
          <w:rFonts w:ascii="Open Sans" w:hAnsi="Open Sans" w:cs="Open Sans"/>
        </w:rPr>
        <w:t>existing wealth for the benefit of local economies</w:t>
      </w:r>
      <w:r>
        <w:rPr>
          <w:rFonts w:ascii="Open Sans" w:hAnsi="Open Sans" w:cs="Open Sans"/>
        </w:rPr>
        <w:t xml:space="preserve"> </w:t>
      </w:r>
      <w:r w:rsidRPr="009529A7">
        <w:rPr>
          <w:rFonts w:ascii="Open Sans" w:hAnsi="Open Sans" w:cs="Open Sans"/>
        </w:rPr>
        <w:t>and communities.</w:t>
      </w:r>
    </w:p>
    <w:p w:rsidR="009529A7" w:rsidRDefault="00780E85" w:rsidP="009529A7">
      <w:pPr>
        <w:pStyle w:val="BodyText"/>
        <w:rPr>
          <w:rFonts w:ascii="Open Sans" w:hAnsi="Open Sans" w:cs="Open Sans"/>
        </w:rPr>
      </w:pPr>
      <w:r>
        <w:rPr>
          <w:rFonts w:ascii="Open Sans" w:hAnsi="Open Sans" w:cs="Open Sans"/>
        </w:rPr>
        <w:t>P</w:t>
      </w:r>
      <w:r w:rsidR="009529A7" w:rsidRPr="009529A7">
        <w:rPr>
          <w:rFonts w:ascii="Open Sans" w:hAnsi="Open Sans" w:cs="Open Sans"/>
        </w:rPr>
        <w:t>roblems of poverty and</w:t>
      </w:r>
      <w:r w:rsidR="009529A7">
        <w:rPr>
          <w:rFonts w:ascii="Open Sans" w:hAnsi="Open Sans" w:cs="Open Sans"/>
        </w:rPr>
        <w:t xml:space="preserve"> </w:t>
      </w:r>
      <w:r w:rsidR="009529A7" w:rsidRPr="009529A7">
        <w:rPr>
          <w:rFonts w:ascii="Open Sans" w:hAnsi="Open Sans" w:cs="Open Sans"/>
        </w:rPr>
        <w:t>inequality result from deep systemic causes,</w:t>
      </w:r>
      <w:r w:rsidR="009529A7">
        <w:rPr>
          <w:rFonts w:ascii="Open Sans" w:hAnsi="Open Sans" w:cs="Open Sans"/>
        </w:rPr>
        <w:t xml:space="preserve"> </w:t>
      </w:r>
      <w:r w:rsidR="0061317F">
        <w:rPr>
          <w:rFonts w:ascii="Open Sans" w:hAnsi="Open Sans" w:cs="Open Sans"/>
        </w:rPr>
        <w:t xml:space="preserve">only </w:t>
      </w:r>
      <w:r w:rsidR="009529A7" w:rsidRPr="009529A7">
        <w:rPr>
          <w:rFonts w:ascii="Open Sans" w:hAnsi="Open Sans" w:cs="Open Sans"/>
        </w:rPr>
        <w:t>made worse by austerity and a receding</w:t>
      </w:r>
      <w:r w:rsidR="009529A7">
        <w:rPr>
          <w:rFonts w:ascii="Open Sans" w:hAnsi="Open Sans" w:cs="Open Sans"/>
        </w:rPr>
        <w:t xml:space="preserve"> </w:t>
      </w:r>
      <w:r w:rsidR="009529A7" w:rsidRPr="009529A7">
        <w:rPr>
          <w:rFonts w:ascii="Open Sans" w:hAnsi="Open Sans" w:cs="Open Sans"/>
        </w:rPr>
        <w:t>welfare state. Today’s economic growth is creating a</w:t>
      </w:r>
      <w:r w:rsidR="009529A7">
        <w:rPr>
          <w:rFonts w:ascii="Open Sans" w:hAnsi="Open Sans" w:cs="Open Sans"/>
        </w:rPr>
        <w:t xml:space="preserve"> </w:t>
      </w:r>
      <w:r w:rsidR="009529A7" w:rsidRPr="009529A7">
        <w:rPr>
          <w:rFonts w:ascii="Open Sans" w:hAnsi="Open Sans" w:cs="Open Sans"/>
        </w:rPr>
        <w:t>low pay, low skill economy that means work is</w:t>
      </w:r>
      <w:r w:rsidR="009529A7">
        <w:rPr>
          <w:rFonts w:ascii="Open Sans" w:hAnsi="Open Sans" w:cs="Open Sans"/>
        </w:rPr>
        <w:t xml:space="preserve"> </w:t>
      </w:r>
      <w:r w:rsidR="009529A7" w:rsidRPr="009529A7">
        <w:rPr>
          <w:rFonts w:ascii="Open Sans" w:hAnsi="Open Sans" w:cs="Open Sans"/>
        </w:rPr>
        <w:t>not necessaril</w:t>
      </w:r>
      <w:r>
        <w:rPr>
          <w:rFonts w:ascii="Open Sans" w:hAnsi="Open Sans" w:cs="Open Sans"/>
        </w:rPr>
        <w:t>y a direct route out of poverty, so we need to fundamentally rethink growth itself.</w:t>
      </w:r>
      <w:r w:rsidR="009529A7" w:rsidRPr="009529A7">
        <w:rPr>
          <w:rFonts w:ascii="Open Sans" w:hAnsi="Open Sans" w:cs="Open Sans"/>
        </w:rPr>
        <w:t xml:space="preserve"> </w:t>
      </w:r>
    </w:p>
    <w:p w:rsidR="009529A7" w:rsidRDefault="008022D2" w:rsidP="00E52488">
      <w:pPr>
        <w:pStyle w:val="BodyText"/>
        <w:rPr>
          <w:rFonts w:ascii="Open Sans" w:hAnsi="Open Sans" w:cs="Open Sans"/>
        </w:rPr>
      </w:pPr>
      <w:r>
        <w:rPr>
          <w:rFonts w:ascii="Open Sans" w:hAnsi="Open Sans" w:cs="Open Sans"/>
        </w:rPr>
        <w:t>The i</w:t>
      </w:r>
      <w:r w:rsidR="00780E85" w:rsidRPr="00780E85">
        <w:rPr>
          <w:rFonts w:ascii="Open Sans" w:hAnsi="Open Sans" w:cs="Open Sans"/>
        </w:rPr>
        <w:t xml:space="preserve">nclusive growth </w:t>
      </w:r>
      <w:r>
        <w:rPr>
          <w:rFonts w:ascii="Open Sans" w:hAnsi="Open Sans" w:cs="Open Sans"/>
        </w:rPr>
        <w:t xml:space="preserve">agenda </w:t>
      </w:r>
      <w:r w:rsidR="00780E85" w:rsidRPr="00780E85">
        <w:rPr>
          <w:rFonts w:ascii="Open Sans" w:hAnsi="Open Sans" w:cs="Open Sans"/>
        </w:rPr>
        <w:t xml:space="preserve">offers an opportunity to pursue a system wide change in which we simultaneously invest in people and places to </w:t>
      </w:r>
      <w:r w:rsidR="00DD2976">
        <w:rPr>
          <w:rFonts w:ascii="Open Sans" w:hAnsi="Open Sans" w:cs="Open Sans"/>
        </w:rPr>
        <w:t xml:space="preserve">attract new wealth and </w:t>
      </w:r>
      <w:r w:rsidR="00780E85" w:rsidRPr="00780E85">
        <w:rPr>
          <w:rFonts w:ascii="Open Sans" w:hAnsi="Open Sans" w:cs="Open Sans"/>
        </w:rPr>
        <w:t xml:space="preserve">deliver growth which </w:t>
      </w:r>
      <w:r w:rsidR="004A62B4">
        <w:rPr>
          <w:rFonts w:ascii="Open Sans" w:hAnsi="Open Sans" w:cs="Open Sans"/>
        </w:rPr>
        <w:t>addresses the inequality and exclusion which drive</w:t>
      </w:r>
      <w:r w:rsidR="00AF2F1A">
        <w:rPr>
          <w:rFonts w:ascii="Open Sans" w:hAnsi="Open Sans" w:cs="Open Sans"/>
        </w:rPr>
        <w:t>s</w:t>
      </w:r>
      <w:r w:rsidR="004A62B4">
        <w:rPr>
          <w:rFonts w:ascii="Open Sans" w:hAnsi="Open Sans" w:cs="Open Sans"/>
        </w:rPr>
        <w:t xml:space="preserve"> poverty.</w:t>
      </w:r>
      <w:r w:rsidR="00780E85" w:rsidRPr="00780E85">
        <w:rPr>
          <w:rFonts w:ascii="Open Sans" w:hAnsi="Open Sans" w:cs="Open Sans"/>
        </w:rPr>
        <w:t xml:space="preserve"> The concept of community wealth building </w:t>
      </w:r>
      <w:r w:rsidR="004A62B4">
        <w:rPr>
          <w:rFonts w:ascii="Open Sans" w:hAnsi="Open Sans" w:cs="Open Sans"/>
        </w:rPr>
        <w:t>however</w:t>
      </w:r>
      <w:r>
        <w:rPr>
          <w:rFonts w:ascii="Open Sans" w:hAnsi="Open Sans" w:cs="Open Sans"/>
        </w:rPr>
        <w:t>,</w:t>
      </w:r>
      <w:r w:rsidR="004A62B4">
        <w:rPr>
          <w:rFonts w:ascii="Open Sans" w:hAnsi="Open Sans" w:cs="Open Sans"/>
        </w:rPr>
        <w:t xml:space="preserve"> </w:t>
      </w:r>
      <w:r w:rsidR="00780E85" w:rsidRPr="00780E85">
        <w:rPr>
          <w:rFonts w:ascii="Open Sans" w:hAnsi="Open Sans" w:cs="Open Sans"/>
        </w:rPr>
        <w:t xml:space="preserve">focuses on wealth rather than poverty, and looks to </w:t>
      </w:r>
      <w:r w:rsidR="0022415E">
        <w:rPr>
          <w:rFonts w:ascii="Open Sans" w:hAnsi="Open Sans" w:cs="Open Sans"/>
        </w:rPr>
        <w:t>leverage</w:t>
      </w:r>
      <w:r w:rsidR="00780E85" w:rsidRPr="00780E85">
        <w:rPr>
          <w:rFonts w:ascii="Open Sans" w:hAnsi="Open Sans" w:cs="Open Sans"/>
        </w:rPr>
        <w:t xml:space="preserve"> </w:t>
      </w:r>
      <w:r w:rsidR="0061317F">
        <w:rPr>
          <w:rFonts w:ascii="Open Sans" w:hAnsi="Open Sans" w:cs="Open Sans"/>
        </w:rPr>
        <w:t xml:space="preserve">existing </w:t>
      </w:r>
      <w:r w:rsidR="0022415E">
        <w:rPr>
          <w:rFonts w:ascii="Open Sans" w:hAnsi="Open Sans" w:cs="Open Sans"/>
        </w:rPr>
        <w:t>wealth</w:t>
      </w:r>
      <w:r w:rsidR="00780E85" w:rsidRPr="00780E85">
        <w:rPr>
          <w:rFonts w:ascii="Open Sans" w:hAnsi="Open Sans" w:cs="Open Sans"/>
        </w:rPr>
        <w:t xml:space="preserve"> </w:t>
      </w:r>
      <w:r>
        <w:rPr>
          <w:rFonts w:ascii="Open Sans" w:hAnsi="Open Sans" w:cs="Open Sans"/>
        </w:rPr>
        <w:t xml:space="preserve">and </w:t>
      </w:r>
      <w:r w:rsidR="00780E85" w:rsidRPr="00780E85">
        <w:rPr>
          <w:rFonts w:ascii="Open Sans" w:hAnsi="Open Sans" w:cs="Open Sans"/>
        </w:rPr>
        <w:t>build good local economies and a good local society</w:t>
      </w:r>
      <w:r>
        <w:rPr>
          <w:rFonts w:ascii="Open Sans" w:hAnsi="Open Sans" w:cs="Open Sans"/>
        </w:rPr>
        <w:t xml:space="preserve"> from within</w:t>
      </w:r>
      <w:r w:rsidR="00780E85" w:rsidRPr="00780E85">
        <w:rPr>
          <w:rFonts w:ascii="Open Sans" w:hAnsi="Open Sans" w:cs="Open Sans"/>
        </w:rPr>
        <w:t xml:space="preserve">. </w:t>
      </w:r>
      <w:r w:rsidR="00DD2976">
        <w:rPr>
          <w:rFonts w:ascii="Open Sans" w:hAnsi="Open Sans" w:cs="Open Sans"/>
        </w:rPr>
        <w:t>Community wealth building is therefore an important part of any inclusive growth strategy</w:t>
      </w:r>
      <w:r w:rsidR="0061317F">
        <w:rPr>
          <w:rFonts w:ascii="Open Sans" w:hAnsi="Open Sans" w:cs="Open Sans"/>
        </w:rPr>
        <w:t>, contributing to more co-operative, collaborative and social economy.</w:t>
      </w:r>
      <w:r w:rsidR="00DD2976">
        <w:rPr>
          <w:rFonts w:ascii="Open Sans" w:hAnsi="Open Sans" w:cs="Open Sans"/>
        </w:rPr>
        <w:t xml:space="preserve"> </w:t>
      </w:r>
    </w:p>
    <w:p w:rsidR="005B4B69" w:rsidRPr="005B4B69" w:rsidRDefault="005B4B69" w:rsidP="005B4B69">
      <w:pPr>
        <w:pStyle w:val="Heading5"/>
        <w:rPr>
          <w:rFonts w:ascii="Open Sans" w:hAnsi="Open Sans" w:cs="Open Sans"/>
        </w:rPr>
      </w:pPr>
      <w:r>
        <w:rPr>
          <w:rFonts w:ascii="Open Sans" w:hAnsi="Open Sans" w:cs="Open Sans"/>
        </w:rPr>
        <w:t>Community</w:t>
      </w:r>
      <w:r w:rsidRPr="005B4B69">
        <w:rPr>
          <w:rFonts w:ascii="Open Sans" w:hAnsi="Open Sans" w:cs="Open Sans"/>
        </w:rPr>
        <w:t xml:space="preserve"> Wealth Building is NOT zero sum</w:t>
      </w:r>
    </w:p>
    <w:p w:rsidR="005B4B69" w:rsidRPr="005B4B69" w:rsidRDefault="005B4B69" w:rsidP="005B4B69">
      <w:pPr>
        <w:pStyle w:val="BodyText"/>
        <w:rPr>
          <w:rFonts w:ascii="Open Sans" w:hAnsi="Open Sans" w:cs="Open Sans"/>
        </w:rPr>
      </w:pPr>
      <w:r w:rsidRPr="005B4B69">
        <w:rPr>
          <w:rFonts w:ascii="Open Sans" w:hAnsi="Open Sans" w:cs="Open Sans"/>
        </w:rPr>
        <w:t>Shifting the geography of spend is about bringing jobs to where they are needed most. It’s rationale is socio-spatial as well as economic. The value of an additional unit of jobs is higher in a deprived area than it is in a non-deprived area. In our work, an analysis of spend takes in a robust assessment of ‘leakage’, ‘gaps’, and ‘influenceable’ spend. In this we only identify scope for local spending where there a potential market is evidenced and where there is opportunity for spend to contribute towards clear outcomes. Progressive procurement is about bringing economic activity where it produces the highest social return without reducing the productivity of the economy. In short, it is about increasing the social efficiency of economic activity. This work is an example of Pareto improvement</w:t>
      </w:r>
      <w:r w:rsidR="009D7C09">
        <w:rPr>
          <w:rStyle w:val="FootnoteReference"/>
          <w:rFonts w:ascii="Open Sans" w:hAnsi="Open Sans" w:cs="Open Sans"/>
        </w:rPr>
        <w:footnoteReference w:id="1"/>
      </w:r>
      <w:r w:rsidRPr="005B4B69">
        <w:rPr>
          <w:rFonts w:ascii="Open Sans" w:hAnsi="Open Sans" w:cs="Open Sans"/>
        </w:rPr>
        <w:t xml:space="preserve"> – whereby for the same productivity we get more social and environmental benefits. A crucial achievement in times of massive socio-spatial inequalities and austerity.</w:t>
      </w:r>
    </w:p>
    <w:p w:rsidR="005B4B69" w:rsidRPr="005B4B69" w:rsidRDefault="00F86371" w:rsidP="005B4B69">
      <w:pPr>
        <w:pStyle w:val="Heading5"/>
        <w:rPr>
          <w:rFonts w:ascii="Open Sans" w:hAnsi="Open Sans" w:cs="Open Sans"/>
        </w:rPr>
      </w:pPr>
      <w:r>
        <w:rPr>
          <w:rFonts w:ascii="Open Sans" w:hAnsi="Open Sans" w:cs="Open Sans"/>
        </w:rPr>
        <w:t>Community</w:t>
      </w:r>
      <w:r w:rsidR="005B4B69" w:rsidRPr="005B4B69">
        <w:rPr>
          <w:rFonts w:ascii="Open Sans" w:hAnsi="Open Sans" w:cs="Open Sans"/>
        </w:rPr>
        <w:t xml:space="preserve"> Wealth Building will raise productivity and living standards</w:t>
      </w:r>
    </w:p>
    <w:p w:rsidR="005B4B69" w:rsidRPr="005B4B69" w:rsidRDefault="005B4B69" w:rsidP="005B4B69">
      <w:pPr>
        <w:pStyle w:val="BodyText"/>
        <w:rPr>
          <w:rFonts w:ascii="Open Sans" w:hAnsi="Open Sans" w:cs="Open Sans"/>
        </w:rPr>
      </w:pPr>
      <w:r w:rsidRPr="005B4B69">
        <w:rPr>
          <w:rFonts w:ascii="Open Sans" w:hAnsi="Open Sans" w:cs="Open Sans"/>
        </w:rPr>
        <w:t xml:space="preserve">National and international scale competition is not the only way to increase the productivity of businesses. Smart homegrown strategies can also deliver this objective. We should see </w:t>
      </w:r>
      <w:r w:rsidR="00F86371">
        <w:rPr>
          <w:rFonts w:ascii="Open Sans" w:hAnsi="Open Sans" w:cs="Open Sans"/>
        </w:rPr>
        <w:t>Community</w:t>
      </w:r>
      <w:r w:rsidRPr="005B4B69">
        <w:rPr>
          <w:rFonts w:ascii="Open Sans" w:hAnsi="Open Sans" w:cs="Open Sans"/>
        </w:rPr>
        <w:t xml:space="preserve"> Wealth Building as a long-term strategy of increasing the productivity of businesses through reducing information asymmetries (where one party in an economic transaction holds more information than the other), opening markets to SMEs and engaging with suppliers. These activities make the market more competitive, not less, as they enable access to more local SMEs and not just to a few big corporations. </w:t>
      </w:r>
      <w:r w:rsidR="00F86371">
        <w:rPr>
          <w:rFonts w:ascii="Open Sans" w:hAnsi="Open Sans" w:cs="Open Sans"/>
        </w:rPr>
        <w:t>Community</w:t>
      </w:r>
      <w:r w:rsidRPr="005B4B69">
        <w:rPr>
          <w:rFonts w:ascii="Open Sans" w:hAnsi="Open Sans" w:cs="Open Sans"/>
        </w:rPr>
        <w:t xml:space="preserve"> Wealth Building is therefore business development policy. This is crucial in areas where the economy has been hollowed out through years of neglect and under-investment.</w:t>
      </w:r>
    </w:p>
    <w:p w:rsidR="005B4B69" w:rsidRPr="005B4B69" w:rsidRDefault="00F86371" w:rsidP="005B4B69">
      <w:pPr>
        <w:pStyle w:val="Heading5"/>
        <w:rPr>
          <w:rFonts w:ascii="Open Sans" w:hAnsi="Open Sans" w:cs="Open Sans"/>
        </w:rPr>
      </w:pPr>
      <w:r>
        <w:rPr>
          <w:rFonts w:ascii="Open Sans" w:hAnsi="Open Sans" w:cs="Open Sans"/>
        </w:rPr>
        <w:t>Community</w:t>
      </w:r>
      <w:r w:rsidR="005B4B69" w:rsidRPr="005B4B69">
        <w:rPr>
          <w:rFonts w:ascii="Open Sans" w:hAnsi="Open Sans" w:cs="Open Sans"/>
        </w:rPr>
        <w:t xml:space="preserve"> Wealth Building is about the national economy</w:t>
      </w:r>
    </w:p>
    <w:p w:rsidR="005B4B69" w:rsidRPr="005B4B69" w:rsidRDefault="005B4B69" w:rsidP="005B4B69">
      <w:pPr>
        <w:pStyle w:val="BodyText"/>
        <w:rPr>
          <w:rFonts w:ascii="Open Sans" w:hAnsi="Open Sans" w:cs="Open Sans"/>
        </w:rPr>
      </w:pPr>
      <w:r w:rsidRPr="005B4B69">
        <w:rPr>
          <w:rFonts w:ascii="Open Sans" w:hAnsi="Open Sans" w:cs="Open Sans"/>
        </w:rPr>
        <w:t>Progressive procurement is not just about increasing the extent to which anchor institutions spend in a defined local geographical area; it is also about shifting the behaviour of supply chain organisations (regardless of where they are based) so that they contribute to wider economic, social and environmental challenges. This is relevant for the national economy. Developing local businesses, with more jobs, reduces spend on out of work benefits and other national public services and it increases the skills and competitiveness of UK business, generally. In addition, there are national and international environmental benefits to progressive procurement in that it can shorten the supply chain and enable firms to produce wider environmental value. Again, this highlights the integrity of the approach. We get higher environmental sustainability – and shorter supply chain – by keeping the same productivity levels or increasing it in the medium to long term. It optimises the system for environmental efficiency and at the same time, it does not decrease economic performance. It is a win-win approach.</w:t>
      </w:r>
    </w:p>
    <w:p w:rsidR="005B4B69" w:rsidRPr="005B4B69" w:rsidRDefault="005B4B69" w:rsidP="005B4B69">
      <w:pPr>
        <w:pStyle w:val="Heading5"/>
        <w:rPr>
          <w:rFonts w:ascii="Open Sans" w:hAnsi="Open Sans" w:cs="Open Sans"/>
        </w:rPr>
      </w:pPr>
      <w:r w:rsidRPr="005B4B69">
        <w:rPr>
          <w:rFonts w:ascii="Open Sans" w:hAnsi="Open Sans" w:cs="Open Sans"/>
        </w:rPr>
        <w:t xml:space="preserve">We should avoid framing </w:t>
      </w:r>
      <w:r w:rsidR="00F86371">
        <w:rPr>
          <w:rFonts w:ascii="Open Sans" w:hAnsi="Open Sans" w:cs="Open Sans"/>
        </w:rPr>
        <w:t>Community</w:t>
      </w:r>
      <w:r w:rsidRPr="005B4B69">
        <w:rPr>
          <w:rFonts w:ascii="Open Sans" w:hAnsi="Open Sans" w:cs="Open Sans"/>
        </w:rPr>
        <w:t xml:space="preserve"> Wealth Building as free market vs. protectionism</w:t>
      </w:r>
    </w:p>
    <w:p w:rsidR="005B4B69" w:rsidRPr="005B4B69" w:rsidRDefault="005B4B69" w:rsidP="005B4B69">
      <w:pPr>
        <w:pStyle w:val="BodyText"/>
        <w:rPr>
          <w:rFonts w:ascii="Open Sans" w:hAnsi="Open Sans" w:cs="Open Sans"/>
        </w:rPr>
      </w:pPr>
      <w:r w:rsidRPr="005B4B69">
        <w:rPr>
          <w:rFonts w:ascii="Open Sans" w:hAnsi="Open Sans" w:cs="Open Sans"/>
        </w:rPr>
        <w:t>Markets are socially regulated entities that always favour certain types of firms over others. Currently, procurement markets are undergoing deep regulatory changes. Through the Public Services (Social Value) Act, public authorities can embed social value into the design of services, into decision-making criteria and weighting, and into delivery. As a result, the whole nature of procurement is changing: it is no longer just about cost and efficiencies, but also about considerations of quality and social value. As evidenced, particularly in CLES’ work in Preston, this opens up the opportunity to utilise public procurement strategically, as a lever to address the challenges places face and promote a different type of market. This market would not be dominated by large corporate multinationals, but informed by greater worker ownership, social responsibility and affinity to place.</w:t>
      </w:r>
    </w:p>
    <w:p w:rsidR="005B4B69" w:rsidRPr="005B4B69" w:rsidRDefault="00F86371" w:rsidP="005B4B69">
      <w:pPr>
        <w:pStyle w:val="Heading5"/>
        <w:rPr>
          <w:rFonts w:ascii="Open Sans" w:hAnsi="Open Sans" w:cs="Open Sans"/>
        </w:rPr>
      </w:pPr>
      <w:r>
        <w:rPr>
          <w:rFonts w:ascii="Open Sans" w:hAnsi="Open Sans" w:cs="Open Sans"/>
        </w:rPr>
        <w:t>Community</w:t>
      </w:r>
      <w:r w:rsidR="005B4B69" w:rsidRPr="005B4B69">
        <w:rPr>
          <w:rFonts w:ascii="Open Sans" w:hAnsi="Open Sans" w:cs="Open Sans"/>
        </w:rPr>
        <w:t xml:space="preserve"> Wealth Building is for all administrations regardless of political persuasion</w:t>
      </w:r>
    </w:p>
    <w:p w:rsidR="005B4B69" w:rsidRDefault="005B4B69" w:rsidP="005B4B69">
      <w:pPr>
        <w:pStyle w:val="BodyText"/>
        <w:rPr>
          <w:rFonts w:ascii="Open Sans" w:hAnsi="Open Sans" w:cs="Open Sans"/>
        </w:rPr>
      </w:pPr>
      <w:r w:rsidRPr="005B4B69">
        <w:rPr>
          <w:rFonts w:ascii="Open Sans" w:hAnsi="Open Sans" w:cs="Open Sans"/>
        </w:rPr>
        <w:t xml:space="preserve">Many shades of political thought across the UK and Europe have an interest and are advancing </w:t>
      </w:r>
      <w:r w:rsidR="00F86371">
        <w:rPr>
          <w:rFonts w:ascii="Open Sans" w:hAnsi="Open Sans" w:cs="Open Sans"/>
        </w:rPr>
        <w:t>Community</w:t>
      </w:r>
      <w:r w:rsidRPr="005B4B69">
        <w:rPr>
          <w:rFonts w:ascii="Open Sans" w:hAnsi="Open Sans" w:cs="Open Sans"/>
        </w:rPr>
        <w:t xml:space="preserve"> Wealth Building activities. Given the structural and spatial inequalities of the UK, the spatial benefit is central in proving the need for progressive procurement in the UK context. As such, an area with significant disadvantage would be ill-advised to ignore this on any perceived ideological grounds.</w:t>
      </w:r>
    </w:p>
    <w:p w:rsidR="009529A7" w:rsidRPr="004B5792" w:rsidRDefault="004B5792" w:rsidP="004B5792">
      <w:pPr>
        <w:pStyle w:val="Heading2"/>
        <w:rPr>
          <w:rFonts w:ascii="Open Sans" w:hAnsi="Open Sans" w:cs="Open Sans"/>
        </w:rPr>
      </w:pPr>
      <w:bookmarkStart w:id="3" w:name="_Toc495660121"/>
      <w:r w:rsidRPr="004B5792">
        <w:rPr>
          <w:rFonts w:ascii="Open Sans" w:hAnsi="Open Sans" w:cs="Open Sans"/>
        </w:rPr>
        <w:t xml:space="preserve">What </w:t>
      </w:r>
      <w:r w:rsidR="00AF2F1A">
        <w:rPr>
          <w:rFonts w:ascii="Open Sans" w:hAnsi="Open Sans" w:cs="Open Sans"/>
        </w:rPr>
        <w:t>we mean by a</w:t>
      </w:r>
      <w:r w:rsidRPr="004B5792">
        <w:rPr>
          <w:rFonts w:ascii="Open Sans" w:hAnsi="Open Sans" w:cs="Open Sans"/>
        </w:rPr>
        <w:t>nchor institutions</w:t>
      </w:r>
      <w:bookmarkEnd w:id="3"/>
    </w:p>
    <w:p w:rsidR="0022415E" w:rsidRDefault="00ED656A" w:rsidP="0022415E">
      <w:pPr>
        <w:pStyle w:val="BodyText"/>
        <w:rPr>
          <w:rFonts w:ascii="Open Sans" w:hAnsi="Open Sans" w:cs="Open Sans"/>
        </w:rPr>
      </w:pPr>
      <w:r w:rsidRPr="00ED656A">
        <w:rPr>
          <w:rFonts w:ascii="Open Sans" w:hAnsi="Open Sans" w:cs="Open Sans"/>
        </w:rPr>
        <w:t>An anchor institution is one that, alongside its main function, plays a significant role in a locality by making a strategic c</w:t>
      </w:r>
      <w:r w:rsidR="008A2AE9">
        <w:rPr>
          <w:rFonts w:ascii="Open Sans" w:hAnsi="Open Sans" w:cs="Open Sans"/>
        </w:rPr>
        <w:t>ontribution to</w:t>
      </w:r>
      <w:r w:rsidR="0022415E">
        <w:rPr>
          <w:rFonts w:ascii="Open Sans" w:hAnsi="Open Sans" w:cs="Open Sans"/>
        </w:rPr>
        <w:t xml:space="preserve"> local economic life</w:t>
      </w:r>
      <w:r w:rsidRPr="00ED656A">
        <w:rPr>
          <w:rFonts w:ascii="Open Sans" w:hAnsi="Open Sans" w:cs="Open Sans"/>
        </w:rPr>
        <w:t>.</w:t>
      </w:r>
      <w:r w:rsidR="009320A3" w:rsidRPr="009320A3">
        <w:rPr>
          <w:rFonts w:ascii="Open Sans" w:hAnsi="Open Sans" w:cs="Open Sans"/>
        </w:rPr>
        <w:t xml:space="preserve"> </w:t>
      </w:r>
      <w:r w:rsidR="0022415E">
        <w:rPr>
          <w:rFonts w:ascii="Open Sans" w:hAnsi="Open Sans" w:cs="Open Sans"/>
        </w:rPr>
        <w:t xml:space="preserve">Anchor institutions are </w:t>
      </w:r>
      <w:r w:rsidR="0022415E" w:rsidRPr="0022415E">
        <w:rPr>
          <w:rFonts w:ascii="Open Sans" w:hAnsi="Open Sans" w:cs="Open Sans"/>
        </w:rPr>
        <w:t xml:space="preserve">characterised by </w:t>
      </w:r>
      <w:r w:rsidR="0022415E">
        <w:rPr>
          <w:rFonts w:ascii="Open Sans" w:hAnsi="Open Sans" w:cs="Open Sans"/>
        </w:rPr>
        <w:t>a s</w:t>
      </w:r>
      <w:r w:rsidR="0022415E" w:rsidRPr="0022415E">
        <w:rPr>
          <w:rFonts w:ascii="Open Sans" w:hAnsi="Open Sans" w:cs="Open Sans"/>
        </w:rPr>
        <w:t>patial immobility</w:t>
      </w:r>
      <w:r w:rsidR="0022415E">
        <w:rPr>
          <w:rFonts w:ascii="Open Sans" w:hAnsi="Open Sans" w:cs="Open Sans"/>
        </w:rPr>
        <w:t xml:space="preserve"> (highly unlikely to move) and their size &amp; scale (be that in terms of </w:t>
      </w:r>
      <w:r w:rsidR="0022415E" w:rsidRPr="0022415E">
        <w:rPr>
          <w:rFonts w:ascii="Open Sans" w:hAnsi="Open Sans" w:cs="Open Sans"/>
        </w:rPr>
        <w:t>spend</w:t>
      </w:r>
      <w:r w:rsidR="0022415E">
        <w:rPr>
          <w:rFonts w:ascii="Open Sans" w:hAnsi="Open Sans" w:cs="Open Sans"/>
        </w:rPr>
        <w:t>ing</w:t>
      </w:r>
      <w:r w:rsidR="0022415E" w:rsidRPr="0022415E">
        <w:rPr>
          <w:rFonts w:ascii="Open Sans" w:hAnsi="Open Sans" w:cs="Open Sans"/>
        </w:rPr>
        <w:t xml:space="preserve">, employment, land, </w:t>
      </w:r>
      <w:r w:rsidR="00AF2F1A">
        <w:rPr>
          <w:rFonts w:ascii="Open Sans" w:hAnsi="Open Sans" w:cs="Open Sans"/>
        </w:rPr>
        <w:t xml:space="preserve">or </w:t>
      </w:r>
      <w:r w:rsidR="0022415E" w:rsidRPr="0022415E">
        <w:rPr>
          <w:rFonts w:ascii="Open Sans" w:hAnsi="Open Sans" w:cs="Open Sans"/>
        </w:rPr>
        <w:t>assets</w:t>
      </w:r>
      <w:r w:rsidR="0022415E">
        <w:rPr>
          <w:rFonts w:ascii="Open Sans" w:hAnsi="Open Sans" w:cs="Open Sans"/>
        </w:rPr>
        <w:t xml:space="preserve">). </w:t>
      </w:r>
      <w:r w:rsidR="009320A3" w:rsidRPr="009320A3">
        <w:rPr>
          <w:rFonts w:ascii="Open Sans" w:hAnsi="Open Sans" w:cs="Open Sans"/>
        </w:rPr>
        <w:t xml:space="preserve">Anchor institutions </w:t>
      </w:r>
      <w:r w:rsidR="00AF2F1A">
        <w:rPr>
          <w:rFonts w:ascii="Open Sans" w:hAnsi="Open Sans" w:cs="Open Sans"/>
        </w:rPr>
        <w:t>typically</w:t>
      </w:r>
      <w:r w:rsidR="0022415E">
        <w:rPr>
          <w:rFonts w:ascii="Open Sans" w:hAnsi="Open Sans" w:cs="Open Sans"/>
        </w:rPr>
        <w:t xml:space="preserve"> </w:t>
      </w:r>
      <w:r w:rsidR="009320A3" w:rsidRPr="009320A3">
        <w:rPr>
          <w:rFonts w:ascii="Open Sans" w:hAnsi="Open Sans" w:cs="Open Sans"/>
        </w:rPr>
        <w:t xml:space="preserve">include </w:t>
      </w:r>
      <w:r w:rsidR="00994926">
        <w:rPr>
          <w:rFonts w:ascii="Open Sans" w:hAnsi="Open Sans" w:cs="Open Sans"/>
        </w:rPr>
        <w:t xml:space="preserve">local authorities, </w:t>
      </w:r>
      <w:r w:rsidR="009320A3" w:rsidRPr="009320A3">
        <w:rPr>
          <w:rFonts w:ascii="Open Sans" w:hAnsi="Open Sans" w:cs="Open Sans"/>
        </w:rPr>
        <w:t>universities</w:t>
      </w:r>
      <w:r w:rsidR="008A2AE9">
        <w:rPr>
          <w:rFonts w:ascii="Open Sans" w:hAnsi="Open Sans" w:cs="Open Sans"/>
        </w:rPr>
        <w:t xml:space="preserve">, </w:t>
      </w:r>
      <w:r w:rsidR="009320A3">
        <w:rPr>
          <w:rFonts w:ascii="Open Sans" w:hAnsi="Open Sans" w:cs="Open Sans"/>
        </w:rPr>
        <w:t>colleges</w:t>
      </w:r>
      <w:r w:rsidR="009320A3" w:rsidRPr="009320A3">
        <w:rPr>
          <w:rFonts w:ascii="Open Sans" w:hAnsi="Open Sans" w:cs="Open Sans"/>
        </w:rPr>
        <w:t>,</w:t>
      </w:r>
      <w:r w:rsidR="008A2AE9">
        <w:rPr>
          <w:rFonts w:ascii="Open Sans" w:hAnsi="Open Sans" w:cs="Open Sans"/>
        </w:rPr>
        <w:t xml:space="preserve"> schools,</w:t>
      </w:r>
      <w:r w:rsidR="009320A3" w:rsidRPr="009320A3">
        <w:rPr>
          <w:rFonts w:ascii="Open Sans" w:hAnsi="Open Sans" w:cs="Open Sans"/>
        </w:rPr>
        <w:t xml:space="preserve"> hospitals,</w:t>
      </w:r>
      <w:r w:rsidR="009320A3">
        <w:rPr>
          <w:rFonts w:ascii="Open Sans" w:hAnsi="Open Sans" w:cs="Open Sans"/>
        </w:rPr>
        <w:t xml:space="preserve"> prisons, airports,</w:t>
      </w:r>
      <w:r w:rsidR="009320A3" w:rsidRPr="009320A3">
        <w:rPr>
          <w:rFonts w:ascii="Open Sans" w:hAnsi="Open Sans" w:cs="Open Sans"/>
        </w:rPr>
        <w:t xml:space="preserve"> religious institutions, utility companies, </w:t>
      </w:r>
      <w:r w:rsidR="00426134" w:rsidRPr="00426134">
        <w:rPr>
          <w:rFonts w:ascii="Open Sans" w:hAnsi="Open Sans" w:cs="Open Sans"/>
        </w:rPr>
        <w:t xml:space="preserve">large corporate institutions with strong local links, </w:t>
      </w:r>
      <w:r w:rsidR="009320A3" w:rsidRPr="009320A3">
        <w:rPr>
          <w:rFonts w:ascii="Open Sans" w:hAnsi="Open Sans" w:cs="Open Sans"/>
        </w:rPr>
        <w:t>and sports teams</w:t>
      </w:r>
      <w:r w:rsidR="009320A3">
        <w:rPr>
          <w:rFonts w:ascii="Open Sans" w:hAnsi="Open Sans" w:cs="Open Sans"/>
        </w:rPr>
        <w:t>/venues</w:t>
      </w:r>
      <w:r w:rsidR="009320A3" w:rsidRPr="009320A3">
        <w:rPr>
          <w:rFonts w:ascii="Open Sans" w:hAnsi="Open Sans" w:cs="Open Sans"/>
        </w:rPr>
        <w:t>.</w:t>
      </w:r>
      <w:r w:rsidR="009320A3">
        <w:rPr>
          <w:rFonts w:ascii="Open Sans" w:hAnsi="Open Sans" w:cs="Open Sans"/>
        </w:rPr>
        <w:t xml:space="preserve"> </w:t>
      </w:r>
    </w:p>
    <w:p w:rsidR="009320A3" w:rsidRDefault="0022415E" w:rsidP="0022415E">
      <w:pPr>
        <w:pStyle w:val="BodyText"/>
        <w:rPr>
          <w:rFonts w:ascii="Open Sans" w:hAnsi="Open Sans" w:cs="Open Sans"/>
        </w:rPr>
      </w:pPr>
      <w:r>
        <w:rPr>
          <w:rFonts w:ascii="Open Sans" w:hAnsi="Open Sans" w:cs="Open Sans"/>
        </w:rPr>
        <w:t>Every place has a range of these institutions</w:t>
      </w:r>
      <w:r w:rsidR="008A2AE9">
        <w:rPr>
          <w:rFonts w:ascii="Open Sans" w:hAnsi="Open Sans" w:cs="Open Sans"/>
        </w:rPr>
        <w:t>,</w:t>
      </w:r>
      <w:r>
        <w:rPr>
          <w:rFonts w:ascii="Open Sans" w:hAnsi="Open Sans" w:cs="Open Sans"/>
        </w:rPr>
        <w:t xml:space="preserve"> and they are therefore </w:t>
      </w:r>
      <w:r w:rsidR="00E52488" w:rsidRPr="00E52488">
        <w:rPr>
          <w:rFonts w:ascii="Open Sans" w:hAnsi="Open Sans" w:cs="Open Sans"/>
        </w:rPr>
        <w:t>central to the concept</w:t>
      </w:r>
      <w:r w:rsidR="00E52488">
        <w:rPr>
          <w:rFonts w:ascii="Open Sans" w:hAnsi="Open Sans" w:cs="Open Sans"/>
        </w:rPr>
        <w:t xml:space="preserve"> </w:t>
      </w:r>
      <w:r w:rsidR="00E52488" w:rsidRPr="00E52488">
        <w:rPr>
          <w:rFonts w:ascii="Open Sans" w:hAnsi="Open Sans" w:cs="Open Sans"/>
        </w:rPr>
        <w:t>of community wealth building</w:t>
      </w:r>
      <w:r>
        <w:rPr>
          <w:rFonts w:ascii="Open Sans" w:hAnsi="Open Sans" w:cs="Open Sans"/>
        </w:rPr>
        <w:t>. A</w:t>
      </w:r>
      <w:r w:rsidR="00E52488" w:rsidRPr="00E52488">
        <w:rPr>
          <w:rFonts w:ascii="Open Sans" w:hAnsi="Open Sans" w:cs="Open Sans"/>
        </w:rPr>
        <w:t>s a result of</w:t>
      </w:r>
      <w:r w:rsidR="00E52488">
        <w:rPr>
          <w:rFonts w:ascii="Open Sans" w:hAnsi="Open Sans" w:cs="Open Sans"/>
        </w:rPr>
        <w:t xml:space="preserve"> </w:t>
      </w:r>
      <w:r w:rsidR="00E52488" w:rsidRPr="00E52488">
        <w:rPr>
          <w:rFonts w:ascii="Open Sans" w:hAnsi="Open Sans" w:cs="Open Sans"/>
        </w:rPr>
        <w:t>the scale of the jobs they provide, the scale of</w:t>
      </w:r>
      <w:r w:rsidR="00E52488">
        <w:rPr>
          <w:rFonts w:ascii="Open Sans" w:hAnsi="Open Sans" w:cs="Open Sans"/>
        </w:rPr>
        <w:t xml:space="preserve"> </w:t>
      </w:r>
      <w:r w:rsidR="008A2AE9">
        <w:rPr>
          <w:rFonts w:ascii="Open Sans" w:hAnsi="Open Sans" w:cs="Open Sans"/>
        </w:rPr>
        <w:t xml:space="preserve">their </w:t>
      </w:r>
      <w:r w:rsidR="00E52488" w:rsidRPr="00E52488">
        <w:rPr>
          <w:rFonts w:ascii="Open Sans" w:hAnsi="Open Sans" w:cs="Open Sans"/>
        </w:rPr>
        <w:t>spend through procurement, their land and assets,</w:t>
      </w:r>
      <w:r w:rsidR="00E52488">
        <w:rPr>
          <w:rFonts w:ascii="Open Sans" w:hAnsi="Open Sans" w:cs="Open Sans"/>
        </w:rPr>
        <w:t xml:space="preserve"> </w:t>
      </w:r>
      <w:r w:rsidR="00E52488" w:rsidRPr="00E52488">
        <w:rPr>
          <w:rFonts w:ascii="Open Sans" w:hAnsi="Open Sans" w:cs="Open Sans"/>
        </w:rPr>
        <w:t>and the fact that</w:t>
      </w:r>
      <w:r w:rsidR="009320A3">
        <w:rPr>
          <w:rFonts w:ascii="Open Sans" w:hAnsi="Open Sans" w:cs="Open Sans"/>
        </w:rPr>
        <w:t xml:space="preserve"> they are unlikely to leave a</w:t>
      </w:r>
      <w:r w:rsidR="00E52488">
        <w:rPr>
          <w:rFonts w:ascii="Open Sans" w:hAnsi="Open Sans" w:cs="Open Sans"/>
        </w:rPr>
        <w:t xml:space="preserve"> </w:t>
      </w:r>
      <w:r w:rsidR="00E52488" w:rsidRPr="00E52488">
        <w:rPr>
          <w:rFonts w:ascii="Open Sans" w:hAnsi="Open Sans" w:cs="Open Sans"/>
        </w:rPr>
        <w:t>place</w:t>
      </w:r>
      <w:r w:rsidR="008A2AE9">
        <w:rPr>
          <w:rFonts w:ascii="Open Sans" w:hAnsi="Open Sans" w:cs="Open Sans"/>
        </w:rPr>
        <w:t>, cements them as</w:t>
      </w:r>
      <w:r>
        <w:rPr>
          <w:rFonts w:ascii="Open Sans" w:hAnsi="Open Sans" w:cs="Open Sans"/>
        </w:rPr>
        <w:t xml:space="preserve"> vital actors in any approach to develop a </w:t>
      </w:r>
      <w:r w:rsidRPr="00780E85">
        <w:rPr>
          <w:rFonts w:ascii="Open Sans" w:hAnsi="Open Sans" w:cs="Open Sans"/>
        </w:rPr>
        <w:t>good local econom</w:t>
      </w:r>
      <w:r>
        <w:rPr>
          <w:rFonts w:ascii="Open Sans" w:hAnsi="Open Sans" w:cs="Open Sans"/>
        </w:rPr>
        <w:t>y</w:t>
      </w:r>
      <w:r w:rsidRPr="00780E85">
        <w:rPr>
          <w:rFonts w:ascii="Open Sans" w:hAnsi="Open Sans" w:cs="Open Sans"/>
        </w:rPr>
        <w:t xml:space="preserve"> and society</w:t>
      </w:r>
      <w:r>
        <w:rPr>
          <w:rFonts w:ascii="Open Sans" w:hAnsi="Open Sans" w:cs="Open Sans"/>
        </w:rPr>
        <w:t xml:space="preserve"> from within</w:t>
      </w:r>
      <w:r w:rsidR="00E52488" w:rsidRPr="00E52488">
        <w:rPr>
          <w:rFonts w:ascii="Open Sans" w:hAnsi="Open Sans" w:cs="Open Sans"/>
        </w:rPr>
        <w:t xml:space="preserve">. </w:t>
      </w:r>
    </w:p>
    <w:p w:rsidR="0022415E" w:rsidRPr="0022415E" w:rsidRDefault="0022415E" w:rsidP="0022415E">
      <w:pPr>
        <w:pStyle w:val="Heading2"/>
        <w:rPr>
          <w:rFonts w:ascii="Open Sans" w:hAnsi="Open Sans" w:cs="Open Sans"/>
        </w:rPr>
      </w:pPr>
      <w:bookmarkStart w:id="4" w:name="_Toc495660122"/>
      <w:r w:rsidRPr="0022415E">
        <w:rPr>
          <w:rFonts w:ascii="Open Sans" w:hAnsi="Open Sans" w:cs="Open Sans"/>
        </w:rPr>
        <w:t>An anchor institution strategy</w:t>
      </w:r>
      <w:bookmarkEnd w:id="4"/>
      <w:r w:rsidRPr="0022415E">
        <w:rPr>
          <w:rFonts w:ascii="Open Sans" w:hAnsi="Open Sans" w:cs="Open Sans"/>
        </w:rPr>
        <w:t xml:space="preserve"> </w:t>
      </w:r>
    </w:p>
    <w:p w:rsidR="00C84493" w:rsidRDefault="0022415E" w:rsidP="00ED656A">
      <w:pPr>
        <w:pStyle w:val="BodyText"/>
        <w:rPr>
          <w:rFonts w:ascii="Open Sans" w:hAnsi="Open Sans" w:cs="Open Sans"/>
        </w:rPr>
      </w:pPr>
      <w:r>
        <w:rPr>
          <w:rFonts w:ascii="Open Sans" w:hAnsi="Open Sans" w:cs="Open Sans"/>
        </w:rPr>
        <w:t>An anchor i</w:t>
      </w:r>
      <w:r w:rsidR="009320A3">
        <w:rPr>
          <w:rFonts w:ascii="Open Sans" w:hAnsi="Open Sans" w:cs="Open Sans"/>
        </w:rPr>
        <w:t>nstitution strategy</w:t>
      </w:r>
      <w:r w:rsidR="00EF15A9">
        <w:rPr>
          <w:rFonts w:ascii="Open Sans" w:hAnsi="Open Sans" w:cs="Open Sans"/>
        </w:rPr>
        <w:t xml:space="preserve"> should</w:t>
      </w:r>
      <w:r w:rsidR="009320A3">
        <w:rPr>
          <w:rFonts w:ascii="Open Sans" w:hAnsi="Open Sans" w:cs="Open Sans"/>
        </w:rPr>
        <w:t xml:space="preserve"> </w:t>
      </w:r>
      <w:r>
        <w:rPr>
          <w:rFonts w:ascii="Open Sans" w:hAnsi="Open Sans" w:cs="Open Sans"/>
        </w:rPr>
        <w:t xml:space="preserve">at its heart </w:t>
      </w:r>
      <w:r w:rsidR="009320A3">
        <w:rPr>
          <w:rFonts w:ascii="Open Sans" w:hAnsi="Open Sans" w:cs="Open Sans"/>
        </w:rPr>
        <w:t xml:space="preserve">seek to build </w:t>
      </w:r>
      <w:r>
        <w:rPr>
          <w:rFonts w:ascii="Open Sans" w:hAnsi="Open Sans" w:cs="Open Sans"/>
        </w:rPr>
        <w:t xml:space="preserve">greater commitment from </w:t>
      </w:r>
      <w:r w:rsidR="008A2AE9">
        <w:rPr>
          <w:rFonts w:ascii="Open Sans" w:hAnsi="Open Sans" w:cs="Open Sans"/>
        </w:rPr>
        <w:t xml:space="preserve">these </w:t>
      </w:r>
      <w:r>
        <w:rPr>
          <w:rFonts w:ascii="Open Sans" w:hAnsi="Open Sans" w:cs="Open Sans"/>
        </w:rPr>
        <w:t>institutions in</w:t>
      </w:r>
      <w:r w:rsidR="00ED656A">
        <w:rPr>
          <w:rFonts w:ascii="Open Sans" w:hAnsi="Open Sans" w:cs="Open Sans"/>
        </w:rPr>
        <w:t xml:space="preserve"> </w:t>
      </w:r>
      <w:r w:rsidR="00ED656A" w:rsidRPr="00ED656A">
        <w:rPr>
          <w:rFonts w:ascii="Open Sans" w:hAnsi="Open Sans" w:cs="Open Sans"/>
        </w:rPr>
        <w:t>understand</w:t>
      </w:r>
      <w:r>
        <w:rPr>
          <w:rFonts w:ascii="Open Sans" w:hAnsi="Open Sans" w:cs="Open Sans"/>
        </w:rPr>
        <w:t>ing</w:t>
      </w:r>
      <w:r w:rsidR="00ED656A" w:rsidRPr="00ED656A">
        <w:rPr>
          <w:rFonts w:ascii="Open Sans" w:hAnsi="Open Sans" w:cs="Open Sans"/>
        </w:rPr>
        <w:t xml:space="preserve"> the needs of</w:t>
      </w:r>
      <w:r w:rsidR="00A263AA">
        <w:rPr>
          <w:rFonts w:ascii="Open Sans" w:hAnsi="Open Sans" w:cs="Open Sans"/>
        </w:rPr>
        <w:t xml:space="preserve"> local</w:t>
      </w:r>
      <w:r w:rsidR="00ED656A" w:rsidRPr="00ED656A">
        <w:rPr>
          <w:rFonts w:ascii="Open Sans" w:hAnsi="Open Sans" w:cs="Open Sans"/>
        </w:rPr>
        <w:t xml:space="preserve"> place</w:t>
      </w:r>
      <w:r w:rsidR="00A263AA">
        <w:rPr>
          <w:rFonts w:ascii="Open Sans" w:hAnsi="Open Sans" w:cs="Open Sans"/>
        </w:rPr>
        <w:t>s</w:t>
      </w:r>
      <w:r w:rsidR="00ED656A" w:rsidRPr="00ED656A">
        <w:rPr>
          <w:rFonts w:ascii="Open Sans" w:hAnsi="Open Sans" w:cs="Open Sans"/>
        </w:rPr>
        <w:t xml:space="preserve"> and local</w:t>
      </w:r>
      <w:r w:rsidR="00ED656A">
        <w:rPr>
          <w:rFonts w:ascii="Open Sans" w:hAnsi="Open Sans" w:cs="Open Sans"/>
        </w:rPr>
        <w:t xml:space="preserve"> </w:t>
      </w:r>
      <w:r w:rsidR="008A2AE9">
        <w:rPr>
          <w:rFonts w:ascii="Open Sans" w:hAnsi="Open Sans" w:cs="Open Sans"/>
        </w:rPr>
        <w:t>people</w:t>
      </w:r>
      <w:r w:rsidR="00ED656A" w:rsidRPr="00ED656A">
        <w:rPr>
          <w:rFonts w:ascii="Open Sans" w:hAnsi="Open Sans" w:cs="Open Sans"/>
        </w:rPr>
        <w:t>. Maximising social</w:t>
      </w:r>
      <w:r>
        <w:rPr>
          <w:rFonts w:ascii="Open Sans" w:hAnsi="Open Sans" w:cs="Open Sans"/>
        </w:rPr>
        <w:t>, economic and</w:t>
      </w:r>
      <w:r w:rsidR="00ED656A" w:rsidRPr="00ED656A">
        <w:rPr>
          <w:rFonts w:ascii="Open Sans" w:hAnsi="Open Sans" w:cs="Open Sans"/>
        </w:rPr>
        <w:t xml:space="preserve"> environmental goals</w:t>
      </w:r>
      <w:r w:rsidR="00ED656A">
        <w:rPr>
          <w:rFonts w:ascii="Open Sans" w:hAnsi="Open Sans" w:cs="Open Sans"/>
        </w:rPr>
        <w:t xml:space="preserve"> </w:t>
      </w:r>
      <w:r w:rsidR="00ED656A" w:rsidRPr="00ED656A">
        <w:rPr>
          <w:rFonts w:ascii="Open Sans" w:hAnsi="Open Sans" w:cs="Open Sans"/>
        </w:rPr>
        <w:t xml:space="preserve">should be </w:t>
      </w:r>
      <w:r>
        <w:rPr>
          <w:rFonts w:ascii="Open Sans" w:hAnsi="Open Sans" w:cs="Open Sans"/>
        </w:rPr>
        <w:t>central to an</w:t>
      </w:r>
      <w:r w:rsidR="00ED656A" w:rsidRPr="00ED656A">
        <w:rPr>
          <w:rFonts w:ascii="Open Sans" w:hAnsi="Open Sans" w:cs="Open Sans"/>
        </w:rPr>
        <w:t xml:space="preserve"> anchor institution strategy</w:t>
      </w:r>
      <w:r>
        <w:rPr>
          <w:rFonts w:ascii="Open Sans" w:hAnsi="Open Sans" w:cs="Open Sans"/>
        </w:rPr>
        <w:t xml:space="preserve">, leveraging on existing </w:t>
      </w:r>
      <w:r w:rsidR="00A263AA">
        <w:rPr>
          <w:rFonts w:ascii="Open Sans" w:hAnsi="Open Sans" w:cs="Open Sans"/>
        </w:rPr>
        <w:t>abilities</w:t>
      </w:r>
      <w:r w:rsidR="00ED656A">
        <w:rPr>
          <w:rFonts w:ascii="Open Sans" w:hAnsi="Open Sans" w:cs="Open Sans"/>
        </w:rPr>
        <w:t xml:space="preserve"> </w:t>
      </w:r>
      <w:r w:rsidR="00ED656A" w:rsidRPr="00ED656A">
        <w:rPr>
          <w:rFonts w:ascii="Open Sans" w:hAnsi="Open Sans" w:cs="Open Sans"/>
        </w:rPr>
        <w:t>via local and social purchasing; through local</w:t>
      </w:r>
      <w:r w:rsidR="00ED656A">
        <w:rPr>
          <w:rFonts w:ascii="Open Sans" w:hAnsi="Open Sans" w:cs="Open Sans"/>
        </w:rPr>
        <w:t xml:space="preserve"> </w:t>
      </w:r>
      <w:r w:rsidR="00ED656A" w:rsidRPr="00ED656A">
        <w:rPr>
          <w:rFonts w:ascii="Open Sans" w:hAnsi="Open Sans" w:cs="Open Sans"/>
        </w:rPr>
        <w:t>employment; or as incubators for start-ups</w:t>
      </w:r>
      <w:r w:rsidR="00ED656A">
        <w:rPr>
          <w:rFonts w:ascii="Open Sans" w:hAnsi="Open Sans" w:cs="Open Sans"/>
        </w:rPr>
        <w:t xml:space="preserve"> </w:t>
      </w:r>
      <w:r w:rsidR="00ED656A" w:rsidRPr="00ED656A">
        <w:rPr>
          <w:rFonts w:ascii="Open Sans" w:hAnsi="Open Sans" w:cs="Open Sans"/>
        </w:rPr>
        <w:t>and community organisations. Local government</w:t>
      </w:r>
      <w:r w:rsidR="00ED656A">
        <w:rPr>
          <w:rFonts w:ascii="Open Sans" w:hAnsi="Open Sans" w:cs="Open Sans"/>
        </w:rPr>
        <w:t xml:space="preserve"> </w:t>
      </w:r>
      <w:r w:rsidR="00ED656A" w:rsidRPr="00ED656A">
        <w:rPr>
          <w:rFonts w:ascii="Open Sans" w:hAnsi="Open Sans" w:cs="Open Sans"/>
        </w:rPr>
        <w:t xml:space="preserve">can </w:t>
      </w:r>
      <w:r w:rsidR="00A263AA">
        <w:rPr>
          <w:rFonts w:ascii="Open Sans" w:hAnsi="Open Sans" w:cs="Open Sans"/>
        </w:rPr>
        <w:t>play a lead role in creating ‘anchor networks’ and</w:t>
      </w:r>
      <w:r w:rsidR="00ED656A" w:rsidRPr="00ED656A">
        <w:rPr>
          <w:rFonts w:ascii="Open Sans" w:hAnsi="Open Sans" w:cs="Open Sans"/>
        </w:rPr>
        <w:t xml:space="preserve"> build</w:t>
      </w:r>
      <w:r w:rsidR="00A263AA">
        <w:rPr>
          <w:rFonts w:ascii="Open Sans" w:hAnsi="Open Sans" w:cs="Open Sans"/>
        </w:rPr>
        <w:t>ing</w:t>
      </w:r>
      <w:r w:rsidR="00ED656A" w:rsidRPr="00ED656A">
        <w:rPr>
          <w:rFonts w:ascii="Open Sans" w:hAnsi="Open Sans" w:cs="Open Sans"/>
        </w:rPr>
        <w:t xml:space="preserve"> partnerships</w:t>
      </w:r>
      <w:r w:rsidR="00ED656A">
        <w:rPr>
          <w:rFonts w:ascii="Open Sans" w:hAnsi="Open Sans" w:cs="Open Sans"/>
        </w:rPr>
        <w:t xml:space="preserve"> </w:t>
      </w:r>
      <w:r w:rsidR="00ED656A" w:rsidRPr="00ED656A">
        <w:rPr>
          <w:rFonts w:ascii="Open Sans" w:hAnsi="Open Sans" w:cs="Open Sans"/>
        </w:rPr>
        <w:t xml:space="preserve">between anchors and </w:t>
      </w:r>
      <w:r w:rsidR="0070484C" w:rsidRPr="00ED656A">
        <w:rPr>
          <w:rFonts w:ascii="Open Sans" w:hAnsi="Open Sans" w:cs="Open Sans"/>
        </w:rPr>
        <w:t>public-sector</w:t>
      </w:r>
      <w:r w:rsidR="00ED656A" w:rsidRPr="00ED656A">
        <w:rPr>
          <w:rFonts w:ascii="Open Sans" w:hAnsi="Open Sans" w:cs="Open Sans"/>
        </w:rPr>
        <w:t xml:space="preserve"> bodies,</w:t>
      </w:r>
      <w:r w:rsidR="00ED656A">
        <w:rPr>
          <w:rFonts w:ascii="Open Sans" w:hAnsi="Open Sans" w:cs="Open Sans"/>
        </w:rPr>
        <w:t xml:space="preserve"> </w:t>
      </w:r>
      <w:r w:rsidR="00ED656A" w:rsidRPr="00ED656A">
        <w:rPr>
          <w:rFonts w:ascii="Open Sans" w:hAnsi="Open Sans" w:cs="Open Sans"/>
        </w:rPr>
        <w:t>local businesses and community groups.</w:t>
      </w:r>
      <w:r w:rsidR="00EF15A9" w:rsidRPr="00EF15A9">
        <w:t xml:space="preserve"> </w:t>
      </w:r>
    </w:p>
    <w:p w:rsidR="008A2AE9" w:rsidRDefault="00AF2F1A" w:rsidP="00793973">
      <w:pPr>
        <w:pStyle w:val="BodyText"/>
        <w:rPr>
          <w:rFonts w:ascii="Open Sans" w:hAnsi="Open Sans" w:cs="Open Sans"/>
        </w:rPr>
      </w:pPr>
      <w:r>
        <w:rPr>
          <w:rFonts w:ascii="Open Sans" w:hAnsi="Open Sans" w:cs="Open Sans"/>
        </w:rPr>
        <w:t xml:space="preserve">The key to </w:t>
      </w:r>
      <w:r w:rsidR="00A263AA">
        <w:rPr>
          <w:rFonts w:ascii="Open Sans" w:hAnsi="Open Sans" w:cs="Open Sans"/>
        </w:rPr>
        <w:t xml:space="preserve">building community wealth via anchor institutions </w:t>
      </w:r>
      <w:r w:rsidR="00EF15A9" w:rsidRPr="00ED656A">
        <w:rPr>
          <w:rFonts w:ascii="Open Sans" w:hAnsi="Open Sans" w:cs="Open Sans"/>
        </w:rPr>
        <w:t>is ensuring that the capital and</w:t>
      </w:r>
      <w:r w:rsidR="008A2AE9">
        <w:rPr>
          <w:rFonts w:ascii="Open Sans" w:hAnsi="Open Sans" w:cs="Open Sans"/>
        </w:rPr>
        <w:t xml:space="preserve"> the benefits of</w:t>
      </w:r>
      <w:r w:rsidR="00EF15A9" w:rsidRPr="00ED656A">
        <w:rPr>
          <w:rFonts w:ascii="Open Sans" w:hAnsi="Open Sans" w:cs="Open Sans"/>
        </w:rPr>
        <w:t xml:space="preserve"> general activity associated with the day to day operation of the</w:t>
      </w:r>
      <w:r w:rsidR="00EF15A9">
        <w:rPr>
          <w:rFonts w:ascii="Open Sans" w:hAnsi="Open Sans" w:cs="Open Sans"/>
        </w:rPr>
        <w:t>se</w:t>
      </w:r>
      <w:r w:rsidR="00EF15A9" w:rsidRPr="00ED656A">
        <w:rPr>
          <w:rFonts w:ascii="Open Sans" w:hAnsi="Open Sans" w:cs="Open Sans"/>
        </w:rPr>
        <w:t xml:space="preserve"> anchor institutions is re</w:t>
      </w:r>
      <w:r w:rsidR="004A62B4">
        <w:rPr>
          <w:rFonts w:ascii="Open Sans" w:hAnsi="Open Sans" w:cs="Open Sans"/>
        </w:rPr>
        <w:t>tained within the local economy</w:t>
      </w:r>
      <w:r w:rsidR="00EF15A9" w:rsidRPr="00ED656A">
        <w:rPr>
          <w:rFonts w:ascii="Open Sans" w:hAnsi="Open Sans" w:cs="Open Sans"/>
        </w:rPr>
        <w:t xml:space="preserve"> as much as possible</w:t>
      </w:r>
      <w:r w:rsidR="00EF15A9">
        <w:rPr>
          <w:rFonts w:ascii="Open Sans" w:hAnsi="Open Sans" w:cs="Open Sans"/>
        </w:rPr>
        <w:t xml:space="preserve">, </w:t>
      </w:r>
      <w:r w:rsidR="00D07910">
        <w:rPr>
          <w:rFonts w:ascii="Open Sans" w:hAnsi="Open Sans" w:cs="Open Sans"/>
        </w:rPr>
        <w:t>and their power to influence,</w:t>
      </w:r>
      <w:r w:rsidR="00EF15A9">
        <w:rPr>
          <w:rFonts w:ascii="Open Sans" w:hAnsi="Open Sans" w:cs="Open Sans"/>
        </w:rPr>
        <w:t xml:space="preserve"> shape</w:t>
      </w:r>
      <w:r w:rsidR="00D07910">
        <w:rPr>
          <w:rFonts w:ascii="Open Sans" w:hAnsi="Open Sans" w:cs="Open Sans"/>
        </w:rPr>
        <w:t xml:space="preserve"> and support</w:t>
      </w:r>
      <w:r w:rsidR="00EF15A9">
        <w:rPr>
          <w:rFonts w:ascii="Open Sans" w:hAnsi="Open Sans" w:cs="Open Sans"/>
        </w:rPr>
        <w:t xml:space="preserve"> the local supply chain is maximised</w:t>
      </w:r>
      <w:r w:rsidR="0070484C">
        <w:rPr>
          <w:rFonts w:ascii="Open Sans" w:hAnsi="Open Sans" w:cs="Open Sans"/>
        </w:rPr>
        <w:t xml:space="preserve"> to deliver a good local economy</w:t>
      </w:r>
      <w:r w:rsidR="00EF15A9" w:rsidRPr="00ED656A">
        <w:rPr>
          <w:rFonts w:ascii="Open Sans" w:hAnsi="Open Sans" w:cs="Open Sans"/>
        </w:rPr>
        <w:t>.</w:t>
      </w:r>
      <w:r w:rsidR="00D07910">
        <w:rPr>
          <w:rFonts w:ascii="Open Sans" w:hAnsi="Open Sans" w:cs="Open Sans"/>
        </w:rPr>
        <w:t xml:space="preserve"> </w:t>
      </w:r>
    </w:p>
    <w:p w:rsidR="00BB6DF9" w:rsidRDefault="00A263AA" w:rsidP="00793973">
      <w:pPr>
        <w:pStyle w:val="BodyText"/>
        <w:rPr>
          <w:rFonts w:ascii="Open Sans" w:hAnsi="Open Sans" w:cs="Open Sans"/>
        </w:rPr>
      </w:pPr>
      <w:r>
        <w:rPr>
          <w:rFonts w:ascii="Open Sans" w:hAnsi="Open Sans" w:cs="Open Sans"/>
        </w:rPr>
        <w:t>Community wealth building is however broader than any</w:t>
      </w:r>
      <w:r w:rsidR="00D07910">
        <w:rPr>
          <w:rFonts w:ascii="Open Sans" w:hAnsi="Open Sans" w:cs="Open Sans"/>
        </w:rPr>
        <w:t xml:space="preserve"> narrow </w:t>
      </w:r>
      <w:r>
        <w:rPr>
          <w:rFonts w:ascii="Open Sans" w:hAnsi="Open Sans" w:cs="Open Sans"/>
        </w:rPr>
        <w:t xml:space="preserve">economic </w:t>
      </w:r>
      <w:r w:rsidR="00AF2F1A">
        <w:rPr>
          <w:rFonts w:ascii="Open Sans" w:hAnsi="Open Sans" w:cs="Open Sans"/>
        </w:rPr>
        <w:t>definition of success and a</w:t>
      </w:r>
      <w:r w:rsidR="00D07910">
        <w:rPr>
          <w:rFonts w:ascii="Open Sans" w:hAnsi="Open Sans" w:cs="Open Sans"/>
        </w:rPr>
        <w:t>nchor institutions need to examine how their actions can</w:t>
      </w:r>
      <w:r w:rsidR="0070484C">
        <w:rPr>
          <w:rFonts w:ascii="Open Sans" w:hAnsi="Open Sans" w:cs="Open Sans"/>
        </w:rPr>
        <w:t xml:space="preserve"> create more successful places,</w:t>
      </w:r>
      <w:r w:rsidR="00D07910">
        <w:rPr>
          <w:rFonts w:ascii="Open Sans" w:hAnsi="Open Sans" w:cs="Open Sans"/>
        </w:rPr>
        <w:t xml:space="preserve"> pr</w:t>
      </w:r>
      <w:r>
        <w:rPr>
          <w:rFonts w:ascii="Open Sans" w:hAnsi="Open Sans" w:cs="Open Sans"/>
        </w:rPr>
        <w:t xml:space="preserve">omote greater social inclusion and </w:t>
      </w:r>
      <w:r w:rsidR="00D07910">
        <w:rPr>
          <w:rFonts w:ascii="Open Sans" w:hAnsi="Open Sans" w:cs="Open Sans"/>
        </w:rPr>
        <w:t>community cohesion</w:t>
      </w:r>
      <w:r>
        <w:rPr>
          <w:rFonts w:ascii="Open Sans" w:hAnsi="Open Sans" w:cs="Open Sans"/>
        </w:rPr>
        <w:t xml:space="preserve">, while supporting </w:t>
      </w:r>
      <w:r w:rsidR="00D07910">
        <w:rPr>
          <w:rFonts w:ascii="Open Sans" w:hAnsi="Open Sans" w:cs="Open Sans"/>
        </w:rPr>
        <w:t xml:space="preserve">anti-poverty initiatives and supporting underserved communities. </w:t>
      </w:r>
      <w:r w:rsidR="0070484C">
        <w:rPr>
          <w:rFonts w:ascii="Open Sans" w:hAnsi="Open Sans" w:cs="Open Sans"/>
        </w:rPr>
        <w:t xml:space="preserve">In achieving this, anchor institutions need to create more inclusive governance structures which allow for a </w:t>
      </w:r>
      <w:r w:rsidR="0070484C" w:rsidRPr="0070484C">
        <w:rPr>
          <w:rFonts w:ascii="Open Sans" w:hAnsi="Open Sans" w:cs="Open Sans"/>
        </w:rPr>
        <w:t xml:space="preserve">redefining of </w:t>
      </w:r>
      <w:r w:rsidR="0070484C">
        <w:rPr>
          <w:rFonts w:ascii="Open Sans" w:hAnsi="Open Sans" w:cs="Open Sans"/>
        </w:rPr>
        <w:t xml:space="preserve">the </w:t>
      </w:r>
      <w:r w:rsidR="0070484C" w:rsidRPr="0070484C">
        <w:rPr>
          <w:rFonts w:ascii="Open Sans" w:hAnsi="Open Sans" w:cs="Open Sans"/>
        </w:rPr>
        <w:t xml:space="preserve">relationships between the local state, citizens and business, a rekindling of a local social contract with equality of opportunity at is heart. </w:t>
      </w:r>
      <w:r w:rsidR="00D07910">
        <w:rPr>
          <w:rFonts w:ascii="Open Sans" w:hAnsi="Open Sans" w:cs="Open Sans"/>
        </w:rPr>
        <w:t xml:space="preserve"> </w:t>
      </w:r>
    </w:p>
    <w:p w:rsidR="00421C47" w:rsidRPr="0070484C" w:rsidRDefault="00907D75" w:rsidP="0070484C">
      <w:pPr>
        <w:pStyle w:val="Heading3"/>
        <w:rPr>
          <w:rFonts w:ascii="Open Sans" w:hAnsi="Open Sans" w:cs="Open Sans"/>
        </w:rPr>
      </w:pPr>
      <w:bookmarkStart w:id="5" w:name="_Toc495660123"/>
      <w:r>
        <w:rPr>
          <w:rFonts w:ascii="Open Sans" w:hAnsi="Open Sans" w:cs="Open Sans"/>
        </w:rPr>
        <w:t>The role of a</w:t>
      </w:r>
      <w:r w:rsidR="00C26D77" w:rsidRPr="0070484C">
        <w:rPr>
          <w:rFonts w:ascii="Open Sans" w:hAnsi="Open Sans" w:cs="Open Sans"/>
        </w:rPr>
        <w:t>nchors in delivering i</w:t>
      </w:r>
      <w:r w:rsidR="00421C47" w:rsidRPr="0070484C">
        <w:rPr>
          <w:rFonts w:ascii="Open Sans" w:hAnsi="Open Sans" w:cs="Open Sans"/>
        </w:rPr>
        <w:t>nclusive governance</w:t>
      </w:r>
      <w:bookmarkEnd w:id="5"/>
    </w:p>
    <w:p w:rsidR="00421C47" w:rsidRPr="005B7F63" w:rsidRDefault="00421C47" w:rsidP="00421C47">
      <w:pPr>
        <w:pStyle w:val="BodyText"/>
        <w:rPr>
          <w:rFonts w:ascii="Open Sans" w:hAnsi="Open Sans" w:cs="Open Sans"/>
        </w:rPr>
      </w:pPr>
      <w:r w:rsidRPr="005B7F63">
        <w:rPr>
          <w:rFonts w:ascii="Open Sans" w:hAnsi="Open Sans" w:cs="Open Sans"/>
        </w:rPr>
        <w:t xml:space="preserve">The unprecedented challenges facing the public sector and local communities mean that traditional models of ‘top-down’ governance and service delivery are no longer fit for purpose. The traditional approach of using a strong central and local state to deliver services in a top down fashion is increasingly criticised for its inherently paternalistic attitude, and no longer considered viable in light of severe cuts experienced by local authorities. </w:t>
      </w:r>
    </w:p>
    <w:p w:rsidR="00A263AA" w:rsidRDefault="00EF15A9" w:rsidP="00D07910">
      <w:pPr>
        <w:pStyle w:val="BodyText"/>
        <w:rPr>
          <w:rFonts w:ascii="Open Sans" w:hAnsi="Open Sans" w:cs="Open Sans"/>
        </w:rPr>
      </w:pPr>
      <w:r>
        <w:rPr>
          <w:rFonts w:ascii="Open Sans" w:hAnsi="Open Sans" w:cs="Open Sans"/>
        </w:rPr>
        <w:t>P</w:t>
      </w:r>
      <w:r w:rsidRPr="00EF15A9">
        <w:rPr>
          <w:rFonts w:ascii="Open Sans" w:hAnsi="Open Sans" w:cs="Open Sans"/>
        </w:rPr>
        <w:t>ublic sector</w:t>
      </w:r>
      <w:r>
        <w:rPr>
          <w:rFonts w:ascii="Open Sans" w:hAnsi="Open Sans" w:cs="Open Sans"/>
        </w:rPr>
        <w:t xml:space="preserve"> institutions</w:t>
      </w:r>
      <w:r w:rsidR="00421C47" w:rsidRPr="005B7F63">
        <w:rPr>
          <w:rFonts w:ascii="Open Sans" w:hAnsi="Open Sans" w:cs="Open Sans"/>
        </w:rPr>
        <w:t xml:space="preserve"> that are committed to finding better ways of working for, and with, local people for the benefit of their local community are exploring collective action, co-operation, empowerment and collaboration with communities to c</w:t>
      </w:r>
      <w:r w:rsidR="00907D75">
        <w:rPr>
          <w:rFonts w:ascii="Open Sans" w:hAnsi="Open Sans" w:cs="Open Sans"/>
        </w:rPr>
        <w:t>reate more social value and pro-</w:t>
      </w:r>
      <w:r w:rsidR="00421C47" w:rsidRPr="005B7F63">
        <w:rPr>
          <w:rFonts w:ascii="Open Sans" w:hAnsi="Open Sans" w:cs="Open Sans"/>
        </w:rPr>
        <w:t>social growth.</w:t>
      </w:r>
      <w:r w:rsidR="00A263AA">
        <w:rPr>
          <w:rFonts w:ascii="Open Sans" w:hAnsi="Open Sans" w:cs="Open Sans"/>
        </w:rPr>
        <w:t xml:space="preserve"> Local institutions around the UK are exploring innovative new models of service delivery, with citizens increasingly viewed as partners, rather than service users, in a new participatory approach which values the lived experience of local people.</w:t>
      </w:r>
    </w:p>
    <w:p w:rsidR="00E52488" w:rsidRPr="005B7F63" w:rsidRDefault="00A263AA" w:rsidP="00D07910">
      <w:pPr>
        <w:pStyle w:val="BodyText"/>
        <w:rPr>
          <w:rFonts w:ascii="Open Sans" w:hAnsi="Open Sans" w:cs="Open Sans"/>
        </w:rPr>
      </w:pPr>
      <w:r>
        <w:rPr>
          <w:rFonts w:ascii="Open Sans" w:hAnsi="Open Sans" w:cs="Open Sans"/>
        </w:rPr>
        <w:t>Anchor institutions can re-evaluate their relationships with citizens and business to c</w:t>
      </w:r>
      <w:r w:rsidRPr="00A263AA">
        <w:rPr>
          <w:rFonts w:ascii="Open Sans" w:hAnsi="Open Sans" w:cs="Open Sans"/>
        </w:rPr>
        <w:t xml:space="preserve">o-produce </w:t>
      </w:r>
      <w:r>
        <w:rPr>
          <w:rFonts w:ascii="Open Sans" w:hAnsi="Open Sans" w:cs="Open Sans"/>
        </w:rPr>
        <w:t xml:space="preserve">a </w:t>
      </w:r>
      <w:r w:rsidRPr="00A263AA">
        <w:rPr>
          <w:rFonts w:ascii="Open Sans" w:hAnsi="Open Sans" w:cs="Open Sans"/>
        </w:rPr>
        <w:t>local economic development</w:t>
      </w:r>
      <w:r>
        <w:rPr>
          <w:rFonts w:ascii="Open Sans" w:hAnsi="Open Sans" w:cs="Open Sans"/>
        </w:rPr>
        <w:t xml:space="preserve"> approach. </w:t>
      </w:r>
      <w:r w:rsidRPr="00A263AA">
        <w:rPr>
          <w:rFonts w:ascii="Open Sans" w:hAnsi="Open Sans" w:cs="Open Sans"/>
        </w:rPr>
        <w:t>The Co-operative Councils’ Innovation Network</w:t>
      </w:r>
      <w:r w:rsidR="000E0388">
        <w:rPr>
          <w:rStyle w:val="FootnoteReference"/>
          <w:rFonts w:ascii="Open Sans" w:hAnsi="Open Sans" w:cs="Open Sans"/>
        </w:rPr>
        <w:footnoteReference w:id="2"/>
      </w:r>
      <w:r>
        <w:rPr>
          <w:rFonts w:ascii="Open Sans" w:hAnsi="Open Sans" w:cs="Open Sans"/>
        </w:rPr>
        <w:t xml:space="preserve"> is an example of a grouping of local authorities </w:t>
      </w:r>
      <w:r w:rsidRPr="00A263AA">
        <w:rPr>
          <w:rFonts w:ascii="Open Sans" w:hAnsi="Open Sans" w:cs="Open Sans"/>
        </w:rPr>
        <w:t xml:space="preserve">committed to transforming the way they work with </w:t>
      </w:r>
      <w:r w:rsidR="000E0388">
        <w:rPr>
          <w:rFonts w:ascii="Open Sans" w:hAnsi="Open Sans" w:cs="Open Sans"/>
        </w:rPr>
        <w:t xml:space="preserve">local business and </w:t>
      </w:r>
      <w:r w:rsidRPr="00A263AA">
        <w:rPr>
          <w:rFonts w:ascii="Open Sans" w:hAnsi="Open Sans" w:cs="Open Sans"/>
        </w:rPr>
        <w:t>communities</w:t>
      </w:r>
      <w:r w:rsidR="000E0388">
        <w:rPr>
          <w:rFonts w:ascii="Open Sans" w:hAnsi="Open Sans" w:cs="Open Sans"/>
        </w:rPr>
        <w:t>.</w:t>
      </w:r>
      <w:r>
        <w:rPr>
          <w:rFonts w:ascii="Open Sans" w:hAnsi="Open Sans" w:cs="Open Sans"/>
        </w:rPr>
        <w:t xml:space="preserve"> </w:t>
      </w:r>
    </w:p>
    <w:p w:rsidR="00421C47" w:rsidRPr="0070484C" w:rsidRDefault="00907D75" w:rsidP="0070484C">
      <w:pPr>
        <w:pStyle w:val="Heading3"/>
        <w:rPr>
          <w:rFonts w:ascii="Open Sans" w:hAnsi="Open Sans" w:cs="Open Sans"/>
        </w:rPr>
      </w:pPr>
      <w:bookmarkStart w:id="6" w:name="_Toc495660124"/>
      <w:r>
        <w:rPr>
          <w:rFonts w:ascii="Open Sans" w:hAnsi="Open Sans" w:cs="Open Sans"/>
        </w:rPr>
        <w:t>The role of a</w:t>
      </w:r>
      <w:r w:rsidR="00C26D77" w:rsidRPr="0070484C">
        <w:rPr>
          <w:rFonts w:ascii="Open Sans" w:hAnsi="Open Sans" w:cs="Open Sans"/>
        </w:rPr>
        <w:t>nchors in delivering g</w:t>
      </w:r>
      <w:r w:rsidR="00421C47" w:rsidRPr="0070484C">
        <w:rPr>
          <w:rFonts w:ascii="Open Sans" w:hAnsi="Open Sans" w:cs="Open Sans"/>
        </w:rPr>
        <w:t>ood local economies</w:t>
      </w:r>
      <w:bookmarkEnd w:id="6"/>
    </w:p>
    <w:p w:rsidR="00421C47" w:rsidRPr="005B7F63" w:rsidRDefault="00421C47" w:rsidP="00421C47">
      <w:pPr>
        <w:pStyle w:val="BodyText"/>
        <w:rPr>
          <w:rFonts w:ascii="Open Sans" w:hAnsi="Open Sans" w:cs="Open Sans"/>
        </w:rPr>
      </w:pPr>
      <w:r w:rsidRPr="005B7F63">
        <w:rPr>
          <w:rFonts w:ascii="Open Sans" w:hAnsi="Open Sans" w:cs="Open Sans"/>
        </w:rPr>
        <w:t xml:space="preserve">Creating good local economies which are more inclusive, in which as many people and businesses as possible can contribute to, and benefit from, local economic success, will be critical to achieving more inclusive growth. </w:t>
      </w:r>
    </w:p>
    <w:p w:rsidR="00421C47" w:rsidRPr="005B7F63" w:rsidRDefault="00421C47" w:rsidP="00421C47">
      <w:pPr>
        <w:pStyle w:val="BodyText"/>
        <w:rPr>
          <w:rFonts w:ascii="Open Sans" w:hAnsi="Open Sans" w:cs="Open Sans"/>
        </w:rPr>
      </w:pPr>
      <w:r w:rsidRPr="005B7F63">
        <w:rPr>
          <w:rFonts w:ascii="Open Sans" w:hAnsi="Open Sans" w:cs="Open Sans"/>
        </w:rPr>
        <w:t>A strategy for more inclusive growth should start with a deep examination of local assets across the public, private and third sector to ensure all assets (capital, land, employment, goods and services) are working for the benefit of the local economy. A resilient local economy requires strong commercial, public and social economies working together and feeding into and supporting each</w:t>
      </w:r>
      <w:r w:rsidR="00907D75">
        <w:rPr>
          <w:rFonts w:ascii="Open Sans" w:hAnsi="Open Sans" w:cs="Open Sans"/>
        </w:rPr>
        <w:t>, in</w:t>
      </w:r>
      <w:r w:rsidRPr="005B7F63">
        <w:rPr>
          <w:rFonts w:ascii="Open Sans" w:hAnsi="Open Sans" w:cs="Open Sans"/>
        </w:rPr>
        <w:t xml:space="preserve"> other to thrive. </w:t>
      </w:r>
    </w:p>
    <w:p w:rsidR="00821CA8" w:rsidRPr="005B7F63" w:rsidRDefault="00421C47" w:rsidP="00D07910">
      <w:pPr>
        <w:pStyle w:val="BodyText"/>
        <w:rPr>
          <w:rFonts w:ascii="Open Sans" w:hAnsi="Open Sans" w:cs="Open Sans"/>
        </w:rPr>
      </w:pPr>
      <w:r w:rsidRPr="005B7F63">
        <w:rPr>
          <w:rFonts w:ascii="Open Sans" w:hAnsi="Open Sans" w:cs="Open Sans"/>
        </w:rPr>
        <w:t xml:space="preserve">Publicly funded institutions can </w:t>
      </w:r>
      <w:r w:rsidR="00907D75">
        <w:rPr>
          <w:rFonts w:ascii="Open Sans" w:hAnsi="Open Sans" w:cs="Open Sans"/>
        </w:rPr>
        <w:t>cooperate</w:t>
      </w:r>
      <w:r w:rsidRPr="005B7F63">
        <w:rPr>
          <w:rFonts w:ascii="Open Sans" w:hAnsi="Open Sans" w:cs="Open Sans"/>
        </w:rPr>
        <w:t xml:space="preserve"> through </w:t>
      </w:r>
      <w:r w:rsidR="00907D75">
        <w:rPr>
          <w:rFonts w:ascii="Open Sans" w:hAnsi="Open Sans" w:cs="Open Sans"/>
        </w:rPr>
        <w:t>an anchor i</w:t>
      </w:r>
      <w:r w:rsidR="000C2141">
        <w:rPr>
          <w:rFonts w:ascii="Open Sans" w:hAnsi="Open Sans" w:cs="Open Sans"/>
        </w:rPr>
        <w:t>nstitution network approach</w:t>
      </w:r>
      <w:r w:rsidRPr="005B7F63">
        <w:rPr>
          <w:rFonts w:ascii="Open Sans" w:hAnsi="Open Sans" w:cs="Open Sans"/>
        </w:rPr>
        <w:t xml:space="preserve"> to support each other to contribute to local basic needs,</w:t>
      </w:r>
      <w:r w:rsidR="00907D75">
        <w:rPr>
          <w:rFonts w:ascii="Open Sans" w:hAnsi="Open Sans" w:cs="Open Sans"/>
        </w:rPr>
        <w:t xml:space="preserve"> such</w:t>
      </w:r>
      <w:r w:rsidRPr="005B7F63">
        <w:rPr>
          <w:rFonts w:ascii="Open Sans" w:hAnsi="Open Sans" w:cs="Open Sans"/>
        </w:rPr>
        <w:t xml:space="preserve"> upskill</w:t>
      </w:r>
      <w:r w:rsidR="00907D75">
        <w:rPr>
          <w:rFonts w:ascii="Open Sans" w:hAnsi="Open Sans" w:cs="Open Sans"/>
        </w:rPr>
        <w:t>ing communities, creating</w:t>
      </w:r>
      <w:r w:rsidRPr="005B7F63">
        <w:rPr>
          <w:rFonts w:ascii="Open Sans" w:hAnsi="Open Sans" w:cs="Open Sans"/>
        </w:rPr>
        <w:t xml:space="preserve"> employment, support</w:t>
      </w:r>
      <w:r w:rsidR="00907D75">
        <w:rPr>
          <w:rFonts w:ascii="Open Sans" w:hAnsi="Open Sans" w:cs="Open Sans"/>
        </w:rPr>
        <w:t>ing progression and reducing</w:t>
      </w:r>
      <w:r w:rsidRPr="005B7F63">
        <w:rPr>
          <w:rFonts w:ascii="Open Sans" w:hAnsi="Open Sans" w:cs="Open Sans"/>
        </w:rPr>
        <w:t xml:space="preserve"> the cost of living. </w:t>
      </w:r>
    </w:p>
    <w:p w:rsidR="00421C47" w:rsidRPr="0070484C" w:rsidRDefault="00907D75" w:rsidP="0070484C">
      <w:pPr>
        <w:pStyle w:val="Heading3"/>
        <w:rPr>
          <w:rFonts w:ascii="Open Sans" w:hAnsi="Open Sans" w:cs="Open Sans"/>
        </w:rPr>
      </w:pPr>
      <w:bookmarkStart w:id="7" w:name="_Toc495660125"/>
      <w:r>
        <w:rPr>
          <w:rFonts w:ascii="Open Sans" w:hAnsi="Open Sans" w:cs="Open Sans"/>
        </w:rPr>
        <w:t>The role of a</w:t>
      </w:r>
      <w:r w:rsidR="00C26D77" w:rsidRPr="0070484C">
        <w:rPr>
          <w:rFonts w:ascii="Open Sans" w:hAnsi="Open Sans" w:cs="Open Sans"/>
        </w:rPr>
        <w:t>nchors in delivering s</w:t>
      </w:r>
      <w:r w:rsidR="00421C47" w:rsidRPr="0070484C">
        <w:rPr>
          <w:rFonts w:ascii="Open Sans" w:hAnsi="Open Sans" w:cs="Open Sans"/>
        </w:rPr>
        <w:t>uccessful places</w:t>
      </w:r>
      <w:bookmarkEnd w:id="7"/>
    </w:p>
    <w:p w:rsidR="006037A1" w:rsidRDefault="00421C47" w:rsidP="00D07910">
      <w:pPr>
        <w:pStyle w:val="BodyText"/>
        <w:rPr>
          <w:rFonts w:ascii="Open Sans" w:hAnsi="Open Sans" w:cs="Open Sans"/>
        </w:rPr>
      </w:pPr>
      <w:r w:rsidRPr="005B7F63">
        <w:rPr>
          <w:rFonts w:ascii="Open Sans" w:hAnsi="Open Sans" w:cs="Open Sans"/>
        </w:rPr>
        <w:t xml:space="preserve">Dynamic, resilient places require economic strategies that not only bring together the economic sphere with the social, but consider people and places jointly. For many years, place-focused economic regeneration initiatives were a key feature of attempts to resolve the problems of poverty in poor areas. Successive governments implemented numerous programmes to address economic and social disparities between affluent and deprived neighbourhoods but they did little to address the root causes. In contrast, today’s productive people-based approach is neither place-based, or focused on the poorest. Only by considering people in place can </w:t>
      </w:r>
      <w:r w:rsidR="00D07910">
        <w:rPr>
          <w:rFonts w:ascii="Open Sans" w:hAnsi="Open Sans" w:cs="Open Sans"/>
        </w:rPr>
        <w:t>we</w:t>
      </w:r>
      <w:r w:rsidRPr="005B7F63">
        <w:rPr>
          <w:rFonts w:ascii="Open Sans" w:hAnsi="Open Sans" w:cs="Open Sans"/>
        </w:rPr>
        <w:t xml:space="preserve"> develop the sustainable, dynamic and inclusive place-based growth that benefits all. </w:t>
      </w:r>
    </w:p>
    <w:p w:rsidR="00421C47" w:rsidRDefault="00517366" w:rsidP="00421C47">
      <w:pPr>
        <w:pStyle w:val="BodyText"/>
        <w:rPr>
          <w:rFonts w:ascii="Open Sans" w:hAnsi="Open Sans" w:cs="Open Sans"/>
        </w:rPr>
      </w:pPr>
      <w:r>
        <w:rPr>
          <w:rFonts w:ascii="Open Sans" w:hAnsi="Open Sans" w:cs="Open Sans"/>
        </w:rPr>
        <w:t>A</w:t>
      </w:r>
      <w:r w:rsidR="000C2141">
        <w:rPr>
          <w:rFonts w:ascii="Open Sans" w:hAnsi="Open Sans" w:cs="Open Sans"/>
        </w:rPr>
        <w:t xml:space="preserve">nchor institutions are firmly rooted in local </w:t>
      </w:r>
      <w:r w:rsidR="000C2141" w:rsidRPr="000C2141">
        <w:rPr>
          <w:rFonts w:ascii="Open Sans" w:hAnsi="Open Sans" w:cs="Open Sans"/>
        </w:rPr>
        <w:t>places</w:t>
      </w:r>
      <w:r w:rsidR="000C2141">
        <w:rPr>
          <w:rFonts w:ascii="Open Sans" w:hAnsi="Open Sans" w:cs="Open Sans"/>
        </w:rPr>
        <w:t>,</w:t>
      </w:r>
      <w:r w:rsidR="000C2141" w:rsidRPr="000C2141">
        <w:rPr>
          <w:rFonts w:ascii="Open Sans" w:hAnsi="Open Sans" w:cs="Open Sans"/>
        </w:rPr>
        <w:t xml:space="preserve"> they both recruit from and serve their local communities; they have a profile in that </w:t>
      </w:r>
      <w:r w:rsidR="000C2141">
        <w:rPr>
          <w:rFonts w:ascii="Open Sans" w:hAnsi="Open Sans" w:cs="Open Sans"/>
        </w:rPr>
        <w:t xml:space="preserve">area </w:t>
      </w:r>
      <w:r w:rsidR="000C2141" w:rsidRPr="000C2141">
        <w:rPr>
          <w:rFonts w:ascii="Open Sans" w:hAnsi="Open Sans" w:cs="Open Sans"/>
        </w:rPr>
        <w:t>and</w:t>
      </w:r>
      <w:r w:rsidR="000C2141">
        <w:rPr>
          <w:rFonts w:ascii="Open Sans" w:hAnsi="Open Sans" w:cs="Open Sans"/>
        </w:rPr>
        <w:t xml:space="preserve"> working together </w:t>
      </w:r>
      <w:r w:rsidR="000C2141" w:rsidRPr="000C2141">
        <w:rPr>
          <w:rFonts w:ascii="Open Sans" w:hAnsi="Open Sans" w:cs="Open Sans"/>
        </w:rPr>
        <w:t xml:space="preserve">they </w:t>
      </w:r>
      <w:r w:rsidR="000C2141">
        <w:rPr>
          <w:rFonts w:ascii="Open Sans" w:hAnsi="Open Sans" w:cs="Open Sans"/>
        </w:rPr>
        <w:t xml:space="preserve">can </w:t>
      </w:r>
      <w:r w:rsidR="000C2141" w:rsidRPr="000C2141">
        <w:rPr>
          <w:rFonts w:ascii="Open Sans" w:hAnsi="Open Sans" w:cs="Open Sans"/>
        </w:rPr>
        <w:t>clearly contribute to wider</w:t>
      </w:r>
      <w:r w:rsidR="0070484C">
        <w:rPr>
          <w:rFonts w:ascii="Open Sans" w:hAnsi="Open Sans" w:cs="Open Sans"/>
        </w:rPr>
        <w:t xml:space="preserve"> social</w:t>
      </w:r>
      <w:r w:rsidR="000C2141" w:rsidRPr="000C2141">
        <w:rPr>
          <w:rFonts w:ascii="Open Sans" w:hAnsi="Open Sans" w:cs="Open Sans"/>
        </w:rPr>
        <w:t xml:space="preserve"> outcomes</w:t>
      </w:r>
      <w:r w:rsidR="0070484C">
        <w:rPr>
          <w:rFonts w:ascii="Open Sans" w:hAnsi="Open Sans" w:cs="Open Sans"/>
        </w:rPr>
        <w:t xml:space="preserve"> (</w:t>
      </w:r>
      <w:r w:rsidR="000C2141" w:rsidRPr="000C2141">
        <w:rPr>
          <w:rFonts w:ascii="Open Sans" w:hAnsi="Open Sans" w:cs="Open Sans"/>
        </w:rPr>
        <w:t>including better health and crime reduction</w:t>
      </w:r>
      <w:r w:rsidR="0070484C">
        <w:rPr>
          <w:rFonts w:ascii="Open Sans" w:hAnsi="Open Sans" w:cs="Open Sans"/>
        </w:rPr>
        <w:t xml:space="preserve"> for example)</w:t>
      </w:r>
      <w:r w:rsidR="000C2141" w:rsidRPr="000C2141">
        <w:rPr>
          <w:rFonts w:ascii="Open Sans" w:hAnsi="Open Sans" w:cs="Open Sans"/>
        </w:rPr>
        <w:t>. This wider role is however not always well understood by all institutions</w:t>
      </w:r>
      <w:r w:rsidR="0070484C">
        <w:rPr>
          <w:rFonts w:ascii="Open Sans" w:hAnsi="Open Sans" w:cs="Open Sans"/>
        </w:rPr>
        <w:t>,</w:t>
      </w:r>
      <w:r w:rsidR="000C2141" w:rsidRPr="000C2141">
        <w:rPr>
          <w:rFonts w:ascii="Open Sans" w:hAnsi="Open Sans" w:cs="Open Sans"/>
        </w:rPr>
        <w:t xml:space="preserve"> who have often not been able to find the space to think beyond their organisational remits</w:t>
      </w:r>
      <w:r>
        <w:rPr>
          <w:rFonts w:ascii="Open Sans" w:hAnsi="Open Sans" w:cs="Open Sans"/>
        </w:rPr>
        <w:t>,</w:t>
      </w:r>
      <w:r w:rsidR="000C2141" w:rsidRPr="000C2141">
        <w:rPr>
          <w:rFonts w:ascii="Open Sans" w:hAnsi="Open Sans" w:cs="Open Sans"/>
        </w:rPr>
        <w:t xml:space="preserve"> </w:t>
      </w:r>
      <w:r>
        <w:rPr>
          <w:rFonts w:ascii="Open Sans" w:hAnsi="Open Sans" w:cs="Open Sans"/>
        </w:rPr>
        <w:t>this has been exacerbated by the</w:t>
      </w:r>
      <w:r w:rsidR="000C2141" w:rsidRPr="000C2141">
        <w:rPr>
          <w:rFonts w:ascii="Open Sans" w:hAnsi="Open Sans" w:cs="Open Sans"/>
        </w:rPr>
        <w:t xml:space="preserve"> massive pressures </w:t>
      </w:r>
      <w:r>
        <w:rPr>
          <w:rFonts w:ascii="Open Sans" w:hAnsi="Open Sans" w:cs="Open Sans"/>
        </w:rPr>
        <w:t xml:space="preserve">caused </w:t>
      </w:r>
      <w:r w:rsidR="000C2141" w:rsidRPr="000C2141">
        <w:rPr>
          <w:rFonts w:ascii="Open Sans" w:hAnsi="Open Sans" w:cs="Open Sans"/>
        </w:rPr>
        <w:t xml:space="preserve">by austerity. It is however exactly because of these added pressures to deliver more for less, that anchor institutions should come together to explore the synergies they can create for the benefit of local places.    </w:t>
      </w:r>
    </w:p>
    <w:p w:rsidR="00AA0E8F" w:rsidRPr="00821CA8" w:rsidRDefault="00AA0E8F" w:rsidP="000C2141">
      <w:pPr>
        <w:pStyle w:val="BodyText"/>
        <w:ind w:left="0"/>
        <w:rPr>
          <w:rFonts w:ascii="Open Sans" w:hAnsi="Open Sans" w:cs="Open Sans"/>
        </w:rPr>
      </w:pPr>
    </w:p>
    <w:p w:rsidR="00E559F5" w:rsidRDefault="00E559F5" w:rsidP="00421C47">
      <w:pPr>
        <w:pStyle w:val="Heading1"/>
        <w:rPr>
          <w:rFonts w:ascii="Open Sans" w:hAnsi="Open Sans" w:cs="Open Sans"/>
        </w:rPr>
      </w:pPr>
      <w:bookmarkStart w:id="8" w:name="_Toc495660126"/>
      <w:r>
        <w:rPr>
          <w:rFonts w:ascii="Open Sans" w:hAnsi="Open Sans" w:cs="Open Sans"/>
        </w:rPr>
        <w:t>Setting the foundations</w:t>
      </w:r>
      <w:bookmarkEnd w:id="8"/>
    </w:p>
    <w:p w:rsidR="00E559F5" w:rsidRDefault="00221125" w:rsidP="00E559F5">
      <w:pPr>
        <w:pStyle w:val="Heading2"/>
        <w:rPr>
          <w:rFonts w:ascii="Open Sans" w:hAnsi="Open Sans" w:cs="Open Sans"/>
        </w:rPr>
      </w:pPr>
      <w:bookmarkStart w:id="9" w:name="_Toc495660127"/>
      <w:r>
        <w:rPr>
          <w:rFonts w:ascii="Open Sans" w:hAnsi="Open Sans" w:cs="Open Sans"/>
        </w:rPr>
        <w:t>Understanding</w:t>
      </w:r>
      <w:r w:rsidR="00E559F5" w:rsidRPr="00E559F5">
        <w:rPr>
          <w:rFonts w:ascii="Open Sans" w:hAnsi="Open Sans" w:cs="Open Sans"/>
        </w:rPr>
        <w:t xml:space="preserve"> the driver</w:t>
      </w:r>
      <w:bookmarkEnd w:id="9"/>
      <w:r w:rsidR="00517366">
        <w:rPr>
          <w:rFonts w:ascii="Open Sans" w:hAnsi="Open Sans" w:cs="Open Sans"/>
        </w:rPr>
        <w:t>s</w:t>
      </w:r>
    </w:p>
    <w:p w:rsidR="00E559F5" w:rsidRPr="00D07910" w:rsidRDefault="00D07910" w:rsidP="00E559F5">
      <w:pPr>
        <w:pStyle w:val="BodyText"/>
        <w:rPr>
          <w:rFonts w:ascii="Open Sans" w:hAnsi="Open Sans" w:cs="Open Sans"/>
        </w:rPr>
      </w:pPr>
      <w:r w:rsidRPr="00D07910">
        <w:rPr>
          <w:rFonts w:ascii="Open Sans" w:hAnsi="Open Sans" w:cs="Open Sans"/>
        </w:rPr>
        <w:t xml:space="preserve">Key to developing an anchor institution approach to building community wealth is understanding the drivers for doing so. </w:t>
      </w:r>
      <w:r w:rsidR="000C2141">
        <w:rPr>
          <w:rFonts w:ascii="Open Sans" w:hAnsi="Open Sans" w:cs="Open Sans"/>
        </w:rPr>
        <w:t xml:space="preserve">The impact of austerity on local services and the resulting </w:t>
      </w:r>
      <w:r w:rsidR="008F6C19">
        <w:rPr>
          <w:rFonts w:ascii="Open Sans" w:hAnsi="Open Sans" w:cs="Open Sans"/>
        </w:rPr>
        <w:t>public-sector</w:t>
      </w:r>
      <w:r w:rsidR="000C2141">
        <w:rPr>
          <w:rFonts w:ascii="Open Sans" w:hAnsi="Open Sans" w:cs="Open Sans"/>
        </w:rPr>
        <w:t xml:space="preserve"> reform programmes have </w:t>
      </w:r>
      <w:r w:rsidR="008F6C19">
        <w:rPr>
          <w:rFonts w:ascii="Open Sans" w:hAnsi="Open Sans" w:cs="Open Sans"/>
        </w:rPr>
        <w:t>led a rapid evolution in thinking at a local level about how we best support and develop people and places. Around the country</w:t>
      </w:r>
      <w:r w:rsidR="00C957F1">
        <w:rPr>
          <w:rFonts w:ascii="Open Sans" w:hAnsi="Open Sans" w:cs="Open Sans"/>
        </w:rPr>
        <w:t>,</w:t>
      </w:r>
      <w:r w:rsidR="008F6C19">
        <w:rPr>
          <w:rFonts w:ascii="Open Sans" w:hAnsi="Open Sans" w:cs="Open Sans"/>
        </w:rPr>
        <w:t xml:space="preserve"> places</w:t>
      </w:r>
      <w:r w:rsidR="00C957F1">
        <w:rPr>
          <w:rFonts w:ascii="Open Sans" w:hAnsi="Open Sans" w:cs="Open Sans"/>
        </w:rPr>
        <w:t xml:space="preserve"> are grappling with this challenge and emerging are </w:t>
      </w:r>
      <w:r w:rsidR="008F6C19">
        <w:rPr>
          <w:rFonts w:ascii="Open Sans" w:hAnsi="Open Sans" w:cs="Open Sans"/>
        </w:rPr>
        <w:t>innovative approaches</w:t>
      </w:r>
      <w:r w:rsidR="00C957F1">
        <w:rPr>
          <w:rFonts w:ascii="Open Sans" w:hAnsi="Open Sans" w:cs="Open Sans"/>
        </w:rPr>
        <w:t xml:space="preserve"> characterised by </w:t>
      </w:r>
      <w:r w:rsidR="008F6C19">
        <w:rPr>
          <w:rFonts w:ascii="Open Sans" w:hAnsi="Open Sans" w:cs="Open Sans"/>
        </w:rPr>
        <w:t xml:space="preserve">a deeper level of integration and co-working than seen previously. </w:t>
      </w:r>
    </w:p>
    <w:p w:rsidR="00E559F5" w:rsidRPr="00E559F5" w:rsidRDefault="009A5B44" w:rsidP="00E559F5">
      <w:pPr>
        <w:pStyle w:val="BodyText"/>
        <w:rPr>
          <w:rFonts w:ascii="Open Sans" w:hAnsi="Open Sans" w:cs="Open Sans"/>
        </w:rPr>
      </w:pPr>
      <w:r>
        <w:rPr>
          <w:rFonts w:ascii="Open Sans" w:hAnsi="Open Sans" w:cs="Open Sans"/>
        </w:rPr>
        <w:t>In Preston, a</w:t>
      </w:r>
      <w:r w:rsidR="00E559F5" w:rsidRPr="00E559F5">
        <w:rPr>
          <w:rFonts w:ascii="Open Sans" w:hAnsi="Open Sans" w:cs="Open Sans"/>
        </w:rPr>
        <w:t xml:space="preserve">n early focus centred around Preston City Council becoming the first formally accredited </w:t>
      </w:r>
      <w:r w:rsidR="00517366">
        <w:rPr>
          <w:rFonts w:ascii="Open Sans" w:hAnsi="Open Sans" w:cs="Open Sans"/>
        </w:rPr>
        <w:t xml:space="preserve">Living Wage </w:t>
      </w:r>
      <w:r w:rsidR="00E559F5" w:rsidRPr="00E559F5">
        <w:rPr>
          <w:rFonts w:ascii="Open Sans" w:hAnsi="Open Sans" w:cs="Open Sans"/>
        </w:rPr>
        <w:t>local authority in the North of England and a wider campaign encouraging other institutions and organisations in Preston to become Living Wage employer</w:t>
      </w:r>
      <w:r w:rsidR="00C957F1">
        <w:rPr>
          <w:rFonts w:ascii="Open Sans" w:hAnsi="Open Sans" w:cs="Open Sans"/>
        </w:rPr>
        <w:t xml:space="preserve">s. </w:t>
      </w:r>
      <w:r w:rsidR="008F6C19" w:rsidRPr="008F6C19">
        <w:rPr>
          <w:rFonts w:ascii="Open Sans" w:hAnsi="Open Sans" w:cs="Open Sans"/>
        </w:rPr>
        <w:t>The council recognise</w:t>
      </w:r>
      <w:r w:rsidR="00C957F1">
        <w:rPr>
          <w:rFonts w:ascii="Open Sans" w:hAnsi="Open Sans" w:cs="Open Sans"/>
        </w:rPr>
        <w:t xml:space="preserve">d that it was </w:t>
      </w:r>
      <w:r w:rsidR="008F6C19" w:rsidRPr="008F6C19">
        <w:rPr>
          <w:rFonts w:ascii="Open Sans" w:hAnsi="Open Sans" w:cs="Open Sans"/>
        </w:rPr>
        <w:t xml:space="preserve">essential to widen the impact of the Living Wage policy </w:t>
      </w:r>
      <w:r w:rsidR="0070484C">
        <w:rPr>
          <w:rFonts w:ascii="Open Sans" w:hAnsi="Open Sans" w:cs="Open Sans"/>
        </w:rPr>
        <w:t>and</w:t>
      </w:r>
      <w:r w:rsidR="008F6C19" w:rsidRPr="008F6C19">
        <w:rPr>
          <w:rFonts w:ascii="Open Sans" w:hAnsi="Open Sans" w:cs="Open Sans"/>
        </w:rPr>
        <w:t xml:space="preserve"> to encourage contractors and others in the</w:t>
      </w:r>
      <w:r w:rsidR="00517366">
        <w:rPr>
          <w:rFonts w:ascii="Open Sans" w:hAnsi="Open Sans" w:cs="Open Sans"/>
        </w:rPr>
        <w:t xml:space="preserve"> supply chain to pay the Living </w:t>
      </w:r>
      <w:r w:rsidR="008F6C19" w:rsidRPr="008F6C19">
        <w:rPr>
          <w:rFonts w:ascii="Open Sans" w:hAnsi="Open Sans" w:cs="Open Sans"/>
        </w:rPr>
        <w:t>Wage</w:t>
      </w:r>
      <w:r w:rsidR="00517366">
        <w:rPr>
          <w:rFonts w:ascii="Open Sans" w:hAnsi="Open Sans" w:cs="Open Sans"/>
        </w:rPr>
        <w:t xml:space="preserve">. In </w:t>
      </w:r>
      <w:r w:rsidR="008F6C19" w:rsidRPr="008F6C19">
        <w:rPr>
          <w:rFonts w:ascii="Open Sans" w:hAnsi="Open Sans" w:cs="Open Sans"/>
        </w:rPr>
        <w:t>2011</w:t>
      </w:r>
      <w:r w:rsidR="00517366">
        <w:rPr>
          <w:rFonts w:ascii="Open Sans" w:hAnsi="Open Sans" w:cs="Open Sans"/>
        </w:rPr>
        <w:t xml:space="preserve"> the Council embedded</w:t>
      </w:r>
      <w:r w:rsidR="008F6C19" w:rsidRPr="008F6C19">
        <w:rPr>
          <w:rFonts w:ascii="Open Sans" w:hAnsi="Open Sans" w:cs="Open Sans"/>
        </w:rPr>
        <w:t xml:space="preserve"> the</w:t>
      </w:r>
      <w:r w:rsidR="00C957F1">
        <w:rPr>
          <w:rFonts w:ascii="Open Sans" w:hAnsi="Open Sans" w:cs="Open Sans"/>
        </w:rPr>
        <w:t xml:space="preserve"> payment of a Living Wage in their</w:t>
      </w:r>
      <w:r w:rsidR="008F6C19" w:rsidRPr="008F6C19">
        <w:rPr>
          <w:rFonts w:ascii="Open Sans" w:hAnsi="Open Sans" w:cs="Open Sans"/>
        </w:rPr>
        <w:t xml:space="preserve"> procurement processes.</w:t>
      </w:r>
    </w:p>
    <w:p w:rsidR="000C2141" w:rsidRDefault="00517366" w:rsidP="00C957F1">
      <w:pPr>
        <w:pStyle w:val="BodyText"/>
        <w:rPr>
          <w:rFonts w:ascii="Open Sans" w:hAnsi="Open Sans" w:cs="Open Sans"/>
        </w:rPr>
      </w:pPr>
      <w:r>
        <w:rPr>
          <w:rFonts w:ascii="Open Sans" w:hAnsi="Open Sans" w:cs="Open Sans"/>
        </w:rPr>
        <w:t>Elsewhere</w:t>
      </w:r>
      <w:r w:rsidR="008F6C19">
        <w:rPr>
          <w:rFonts w:ascii="Open Sans" w:hAnsi="Open Sans" w:cs="Open Sans"/>
        </w:rPr>
        <w:t xml:space="preserve">, the </w:t>
      </w:r>
      <w:r w:rsidR="00FE1442">
        <w:rPr>
          <w:rFonts w:ascii="Open Sans" w:hAnsi="Open Sans" w:cs="Open Sans"/>
        </w:rPr>
        <w:t>Oldham Plan</w:t>
      </w:r>
      <w:r w:rsidR="000C2141">
        <w:rPr>
          <w:rFonts w:ascii="Open Sans" w:hAnsi="Open Sans" w:cs="Open Sans"/>
        </w:rPr>
        <w:t xml:space="preserve"> </w:t>
      </w:r>
      <w:r w:rsidR="00A27F22">
        <w:rPr>
          <w:rFonts w:ascii="Open Sans" w:hAnsi="Open Sans" w:cs="Open Sans"/>
        </w:rPr>
        <w:t xml:space="preserve">has </w:t>
      </w:r>
      <w:r w:rsidR="008F6C19">
        <w:rPr>
          <w:rFonts w:ascii="Open Sans" w:hAnsi="Open Sans" w:cs="Open Sans"/>
        </w:rPr>
        <w:t>recognised t</w:t>
      </w:r>
      <w:r w:rsidR="008F6C19" w:rsidRPr="008F6C19">
        <w:rPr>
          <w:rFonts w:ascii="Open Sans" w:hAnsi="Open Sans" w:cs="Open Sans"/>
        </w:rPr>
        <w:t xml:space="preserve">he continuous squeeze to public sector budgets </w:t>
      </w:r>
      <w:r>
        <w:rPr>
          <w:rFonts w:ascii="Open Sans" w:hAnsi="Open Sans" w:cs="Open Sans"/>
        </w:rPr>
        <w:t xml:space="preserve">has </w:t>
      </w:r>
      <w:r w:rsidR="008F6C19" w:rsidRPr="008F6C19">
        <w:rPr>
          <w:rFonts w:ascii="Open Sans" w:hAnsi="Open Sans" w:cs="Open Sans"/>
        </w:rPr>
        <w:t>ma</w:t>
      </w:r>
      <w:r w:rsidR="008F6C19">
        <w:rPr>
          <w:rFonts w:ascii="Open Sans" w:hAnsi="Open Sans" w:cs="Open Sans"/>
        </w:rPr>
        <w:t>de</w:t>
      </w:r>
      <w:r w:rsidR="008F6C19" w:rsidRPr="008F6C19">
        <w:rPr>
          <w:rFonts w:ascii="Open Sans" w:hAnsi="Open Sans" w:cs="Open Sans"/>
        </w:rPr>
        <w:t xml:space="preserve"> it impossible</w:t>
      </w:r>
      <w:r w:rsidR="008F6C19">
        <w:rPr>
          <w:rFonts w:ascii="Open Sans" w:hAnsi="Open Sans" w:cs="Open Sans"/>
        </w:rPr>
        <w:t xml:space="preserve"> </w:t>
      </w:r>
      <w:r w:rsidR="008F6C19" w:rsidRPr="008F6C19">
        <w:rPr>
          <w:rFonts w:ascii="Open Sans" w:hAnsi="Open Sans" w:cs="Open Sans"/>
        </w:rPr>
        <w:t>to make further efficiency savings without there being visible changes in the</w:t>
      </w:r>
      <w:r w:rsidR="008F6C19">
        <w:rPr>
          <w:rFonts w:ascii="Open Sans" w:hAnsi="Open Sans" w:cs="Open Sans"/>
        </w:rPr>
        <w:t xml:space="preserve"> </w:t>
      </w:r>
      <w:r w:rsidR="008F6C19" w:rsidRPr="008F6C19">
        <w:rPr>
          <w:rFonts w:ascii="Open Sans" w:hAnsi="Open Sans" w:cs="Open Sans"/>
        </w:rPr>
        <w:t>services available to residents. Th</w:t>
      </w:r>
      <w:r w:rsidR="008F6C19">
        <w:rPr>
          <w:rFonts w:ascii="Open Sans" w:hAnsi="Open Sans" w:cs="Open Sans"/>
        </w:rPr>
        <w:t>e plan promotes an</w:t>
      </w:r>
      <w:r w:rsidR="008F6C19" w:rsidRPr="008F6C19">
        <w:rPr>
          <w:rFonts w:ascii="Open Sans" w:hAnsi="Open Sans" w:cs="Open Sans"/>
        </w:rPr>
        <w:t xml:space="preserve"> increase </w:t>
      </w:r>
      <w:r w:rsidR="008F6C19">
        <w:rPr>
          <w:rFonts w:ascii="Open Sans" w:hAnsi="Open Sans" w:cs="Open Sans"/>
        </w:rPr>
        <w:t xml:space="preserve">in </w:t>
      </w:r>
      <w:r w:rsidR="008F6C19" w:rsidRPr="008F6C19">
        <w:rPr>
          <w:rFonts w:ascii="Open Sans" w:hAnsi="Open Sans" w:cs="Open Sans"/>
        </w:rPr>
        <w:t>the pace and scale of</w:t>
      </w:r>
      <w:r w:rsidR="008F6C19">
        <w:rPr>
          <w:rFonts w:ascii="Open Sans" w:hAnsi="Open Sans" w:cs="Open Sans"/>
        </w:rPr>
        <w:t xml:space="preserve"> </w:t>
      </w:r>
      <w:r w:rsidR="008F6C19" w:rsidRPr="008F6C19">
        <w:rPr>
          <w:rFonts w:ascii="Open Sans" w:hAnsi="Open Sans" w:cs="Open Sans"/>
        </w:rPr>
        <w:t>collaboration within and between organisations, sectors and communities to ensure</w:t>
      </w:r>
      <w:r w:rsidR="008F6C19">
        <w:rPr>
          <w:rFonts w:ascii="Open Sans" w:hAnsi="Open Sans" w:cs="Open Sans"/>
        </w:rPr>
        <w:t xml:space="preserve"> </w:t>
      </w:r>
      <w:r w:rsidR="008F6C19" w:rsidRPr="008F6C19">
        <w:rPr>
          <w:rFonts w:ascii="Open Sans" w:hAnsi="Open Sans" w:cs="Open Sans"/>
        </w:rPr>
        <w:t>support is there for the people that need it most and nobody is left behind.</w:t>
      </w:r>
    </w:p>
    <w:p w:rsidR="00B81F1D" w:rsidRPr="00B81F1D" w:rsidRDefault="00B81F1D" w:rsidP="00B81F1D">
      <w:pPr>
        <w:pStyle w:val="BodyText"/>
        <w:rPr>
          <w:rFonts w:ascii="Open Sans" w:hAnsi="Open Sans" w:cs="Open Sans"/>
        </w:rPr>
      </w:pPr>
      <w:r>
        <w:rPr>
          <w:rFonts w:ascii="Open Sans" w:hAnsi="Open Sans" w:cs="Open Sans"/>
        </w:rPr>
        <w:t xml:space="preserve">Similarly, the scale of the </w:t>
      </w:r>
      <w:r w:rsidRPr="00B81F1D">
        <w:rPr>
          <w:rFonts w:ascii="Open Sans" w:hAnsi="Open Sans" w:cs="Open Sans"/>
        </w:rPr>
        <w:t xml:space="preserve">challenge facing </w:t>
      </w:r>
      <w:r>
        <w:rPr>
          <w:rFonts w:ascii="Open Sans" w:hAnsi="Open Sans" w:cs="Open Sans"/>
        </w:rPr>
        <w:t xml:space="preserve">Birmingham </w:t>
      </w:r>
      <w:r w:rsidRPr="00B81F1D">
        <w:rPr>
          <w:rFonts w:ascii="Open Sans" w:hAnsi="Open Sans" w:cs="Open Sans"/>
        </w:rPr>
        <w:t xml:space="preserve">City Council in terms of </w:t>
      </w:r>
      <w:r>
        <w:rPr>
          <w:rFonts w:ascii="Open Sans" w:hAnsi="Open Sans" w:cs="Open Sans"/>
        </w:rPr>
        <w:t xml:space="preserve">shrinking budgets and continued </w:t>
      </w:r>
      <w:r w:rsidRPr="00B81F1D">
        <w:rPr>
          <w:rFonts w:ascii="Open Sans" w:hAnsi="Open Sans" w:cs="Open Sans"/>
        </w:rPr>
        <w:t>austerity</w:t>
      </w:r>
      <w:r>
        <w:rPr>
          <w:rFonts w:ascii="Open Sans" w:hAnsi="Open Sans" w:cs="Open Sans"/>
        </w:rPr>
        <w:t xml:space="preserve"> called for a new approach</w:t>
      </w:r>
      <w:r w:rsidRPr="00B81F1D">
        <w:rPr>
          <w:rFonts w:ascii="Open Sans" w:hAnsi="Open Sans" w:cs="Open Sans"/>
        </w:rPr>
        <w:t>.</w:t>
      </w:r>
      <w:r>
        <w:rPr>
          <w:rFonts w:ascii="Open Sans" w:hAnsi="Open Sans" w:cs="Open Sans"/>
        </w:rPr>
        <w:t xml:space="preserve"> Through our work in Birmingham</w:t>
      </w:r>
      <w:r w:rsidR="008A2AE9">
        <w:rPr>
          <w:rFonts w:ascii="Open Sans" w:hAnsi="Open Sans" w:cs="Open Sans"/>
        </w:rPr>
        <w:t>, supported by Barrow Cadbury Trust,</w:t>
      </w:r>
      <w:r>
        <w:rPr>
          <w:rFonts w:ascii="Open Sans" w:hAnsi="Open Sans" w:cs="Open Sans"/>
        </w:rPr>
        <w:t xml:space="preserve"> we aim to break down the</w:t>
      </w:r>
      <w:r w:rsidRPr="00B81F1D">
        <w:rPr>
          <w:rFonts w:ascii="Open Sans" w:hAnsi="Open Sans" w:cs="Open Sans"/>
        </w:rPr>
        <w:t xml:space="preserve"> silo</w:t>
      </w:r>
      <w:r w:rsidR="008A2AE9">
        <w:rPr>
          <w:rFonts w:ascii="Open Sans" w:hAnsi="Open Sans" w:cs="Open Sans"/>
        </w:rPr>
        <w:t>ed</w:t>
      </w:r>
      <w:r>
        <w:rPr>
          <w:rFonts w:ascii="Open Sans" w:hAnsi="Open Sans" w:cs="Open Sans"/>
        </w:rPr>
        <w:t xml:space="preserve"> key institutions based in the city and begin to build a collaborative culture </w:t>
      </w:r>
      <w:r w:rsidRPr="00B81F1D">
        <w:rPr>
          <w:rFonts w:ascii="Open Sans" w:hAnsi="Open Sans" w:cs="Open Sans"/>
        </w:rPr>
        <w:t xml:space="preserve">working towards </w:t>
      </w:r>
      <w:r>
        <w:rPr>
          <w:rFonts w:ascii="Open Sans" w:hAnsi="Open Sans" w:cs="Open Sans"/>
        </w:rPr>
        <w:t>the</w:t>
      </w:r>
      <w:r w:rsidRPr="00B81F1D">
        <w:rPr>
          <w:rFonts w:ascii="Open Sans" w:hAnsi="Open Sans" w:cs="Open Sans"/>
        </w:rPr>
        <w:t xml:space="preserve"> common objective </w:t>
      </w:r>
      <w:r>
        <w:rPr>
          <w:rFonts w:ascii="Open Sans" w:hAnsi="Open Sans" w:cs="Open Sans"/>
        </w:rPr>
        <w:t xml:space="preserve">of </w:t>
      </w:r>
      <w:r w:rsidR="005A1CE0">
        <w:rPr>
          <w:rFonts w:ascii="Open Sans" w:hAnsi="Open Sans" w:cs="Open Sans"/>
        </w:rPr>
        <w:t>progressing the local economy.</w:t>
      </w:r>
    </w:p>
    <w:p w:rsidR="00E559F5" w:rsidRDefault="00A81702" w:rsidP="00221125">
      <w:pPr>
        <w:pStyle w:val="BodyText"/>
        <w:rPr>
          <w:rFonts w:ascii="Open Sans" w:hAnsi="Open Sans" w:cs="Open Sans"/>
        </w:rPr>
      </w:pPr>
      <w:r>
        <w:rPr>
          <w:rFonts w:ascii="Open Sans" w:hAnsi="Open Sans" w:cs="Open Sans"/>
        </w:rPr>
        <w:t xml:space="preserve">In Doncaster, the refresh of the </w:t>
      </w:r>
      <w:r w:rsidRPr="00A81702">
        <w:rPr>
          <w:rFonts w:ascii="Open Sans" w:hAnsi="Open Sans" w:cs="Open Sans"/>
        </w:rPr>
        <w:t>Economic Growth</w:t>
      </w:r>
      <w:r>
        <w:rPr>
          <w:rFonts w:ascii="Open Sans" w:hAnsi="Open Sans" w:cs="Open Sans"/>
        </w:rPr>
        <w:t xml:space="preserve"> </w:t>
      </w:r>
      <w:r w:rsidRPr="00A81702">
        <w:rPr>
          <w:rFonts w:ascii="Open Sans" w:hAnsi="Open Sans" w:cs="Open Sans"/>
        </w:rPr>
        <w:t>Plan</w:t>
      </w:r>
      <w:r>
        <w:rPr>
          <w:rFonts w:ascii="Open Sans" w:hAnsi="Open Sans" w:cs="Open Sans"/>
        </w:rPr>
        <w:t xml:space="preserve"> </w:t>
      </w:r>
      <w:r w:rsidRPr="00A81702">
        <w:rPr>
          <w:rFonts w:ascii="Open Sans" w:hAnsi="Open Sans" w:cs="Open Sans"/>
        </w:rPr>
        <w:t>2013–18</w:t>
      </w:r>
      <w:r w:rsidR="00F03485">
        <w:rPr>
          <w:rFonts w:ascii="Open Sans" w:hAnsi="Open Sans" w:cs="Open Sans"/>
        </w:rPr>
        <w:t xml:space="preserve"> </w:t>
      </w:r>
      <w:r w:rsidR="009A5B44">
        <w:rPr>
          <w:rFonts w:ascii="Open Sans" w:hAnsi="Open Sans" w:cs="Open Sans"/>
        </w:rPr>
        <w:t xml:space="preserve">has </w:t>
      </w:r>
      <w:r w:rsidR="00F03485">
        <w:rPr>
          <w:rFonts w:ascii="Open Sans" w:hAnsi="Open Sans" w:cs="Open Sans"/>
        </w:rPr>
        <w:t>prompted wider thinking about more inclusive growth</w:t>
      </w:r>
      <w:r w:rsidR="009A5B44">
        <w:rPr>
          <w:rFonts w:ascii="Open Sans" w:hAnsi="Open Sans" w:cs="Open Sans"/>
        </w:rPr>
        <w:t xml:space="preserve">. The Brexit vote highlighted the extent of disillusionment, with 2 to 1 voting to leave the EU in Doncaster, with immigration and pressure on local jobs attributed to the </w:t>
      </w:r>
      <w:r w:rsidR="00517366">
        <w:rPr>
          <w:rFonts w:ascii="Open Sans" w:hAnsi="Open Sans" w:cs="Open Sans"/>
        </w:rPr>
        <w:t>outcome</w:t>
      </w:r>
      <w:r w:rsidR="009A5B44">
        <w:rPr>
          <w:rFonts w:ascii="Open Sans" w:hAnsi="Open Sans" w:cs="Open Sans"/>
        </w:rPr>
        <w:t>.</w:t>
      </w:r>
      <w:r w:rsidR="00221125">
        <w:rPr>
          <w:rFonts w:ascii="Open Sans" w:hAnsi="Open Sans" w:cs="Open Sans"/>
        </w:rPr>
        <w:t xml:space="preserve"> </w:t>
      </w:r>
      <w:r w:rsidR="00C825BE">
        <w:rPr>
          <w:rFonts w:ascii="Open Sans" w:hAnsi="Open Sans" w:cs="Open Sans"/>
        </w:rPr>
        <w:t xml:space="preserve">The </w:t>
      </w:r>
      <w:r w:rsidR="00221125" w:rsidRPr="00C825BE">
        <w:rPr>
          <w:rFonts w:ascii="Open Sans" w:hAnsi="Open Sans" w:cs="Open Sans"/>
        </w:rPr>
        <w:t>Team Doncaster</w:t>
      </w:r>
      <w:r w:rsidR="00C825BE" w:rsidRPr="00C825BE">
        <w:rPr>
          <w:rFonts w:ascii="Open Sans" w:hAnsi="Open Sans" w:cs="Open Sans"/>
        </w:rPr>
        <w:t xml:space="preserve"> approach embeds an ethos of collaboration, progress and positivity</w:t>
      </w:r>
      <w:r w:rsidR="00C825BE">
        <w:rPr>
          <w:rFonts w:ascii="Open Sans" w:hAnsi="Open Sans" w:cs="Open Sans"/>
        </w:rPr>
        <w:t xml:space="preserve"> and welcomes all to play a role in growing Doncaster together, with a partnership of organisations across the public, private and community &amp; voluntary sector coming together to deliver the borough strategy.</w:t>
      </w:r>
      <w:r w:rsidR="009A5B44">
        <w:rPr>
          <w:rFonts w:ascii="Open Sans" w:hAnsi="Open Sans" w:cs="Open Sans"/>
        </w:rPr>
        <w:t xml:space="preserve"> </w:t>
      </w:r>
      <w:r w:rsidR="00F03485">
        <w:rPr>
          <w:rFonts w:ascii="Open Sans" w:hAnsi="Open Sans" w:cs="Open Sans"/>
        </w:rPr>
        <w:t xml:space="preserve"> </w:t>
      </w:r>
    </w:p>
    <w:p w:rsidR="00E559F5" w:rsidRDefault="00A27F22" w:rsidP="008D26F3">
      <w:pPr>
        <w:pStyle w:val="Heading2"/>
        <w:rPr>
          <w:rFonts w:ascii="Open Sans" w:hAnsi="Open Sans" w:cs="Open Sans"/>
        </w:rPr>
      </w:pPr>
      <w:bookmarkStart w:id="10" w:name="_Toc495660128"/>
      <w:r>
        <w:rPr>
          <w:rFonts w:ascii="Open Sans" w:hAnsi="Open Sans" w:cs="Open Sans"/>
        </w:rPr>
        <w:t>Setting a vision</w:t>
      </w:r>
      <w:bookmarkEnd w:id="10"/>
    </w:p>
    <w:p w:rsidR="00DB04D3" w:rsidRDefault="00221125" w:rsidP="00221125">
      <w:pPr>
        <w:pStyle w:val="BodyText"/>
        <w:rPr>
          <w:rFonts w:ascii="Open Sans" w:hAnsi="Open Sans" w:cs="Open Sans"/>
        </w:rPr>
      </w:pPr>
      <w:r>
        <w:rPr>
          <w:rFonts w:ascii="Open Sans" w:hAnsi="Open Sans" w:cs="Open Sans"/>
        </w:rPr>
        <w:t>Efforts to tackle s</w:t>
      </w:r>
      <w:r w:rsidRPr="00221125">
        <w:rPr>
          <w:rFonts w:ascii="Open Sans" w:hAnsi="Open Sans" w:cs="Open Sans"/>
        </w:rPr>
        <w:t>ocial and economic exclusion</w:t>
      </w:r>
      <w:r w:rsidR="00DB04D3">
        <w:rPr>
          <w:rFonts w:ascii="Open Sans" w:hAnsi="Open Sans" w:cs="Open Sans"/>
        </w:rPr>
        <w:t xml:space="preserve"> over the past 30 years have often failed to address the root causes of poverty, with certain communities persistently failing to adapt to each successive round of economic restructuring. In </w:t>
      </w:r>
      <w:r w:rsidR="00517366">
        <w:rPr>
          <w:rFonts w:ascii="Open Sans" w:hAnsi="Open Sans" w:cs="Open Sans"/>
        </w:rPr>
        <w:t>setting the foundations for an anchor i</w:t>
      </w:r>
      <w:r w:rsidR="00DB04D3">
        <w:rPr>
          <w:rFonts w:ascii="Open Sans" w:hAnsi="Open Sans" w:cs="Open Sans"/>
        </w:rPr>
        <w:t>nstitution strategy it is critical to build upon the drivers for intervention</w:t>
      </w:r>
      <w:r w:rsidR="00C957F1">
        <w:rPr>
          <w:rFonts w:ascii="Open Sans" w:hAnsi="Open Sans" w:cs="Open Sans"/>
        </w:rPr>
        <w:t xml:space="preserve"> and a need for greater collaborative working</w:t>
      </w:r>
      <w:r w:rsidR="00517366">
        <w:rPr>
          <w:rFonts w:ascii="Open Sans" w:hAnsi="Open Sans" w:cs="Open Sans"/>
        </w:rPr>
        <w:t>,</w:t>
      </w:r>
      <w:r w:rsidR="00C957F1">
        <w:rPr>
          <w:rFonts w:ascii="Open Sans" w:hAnsi="Open Sans" w:cs="Open Sans"/>
        </w:rPr>
        <w:t xml:space="preserve"> with a </w:t>
      </w:r>
      <w:r w:rsidR="00DB04D3">
        <w:rPr>
          <w:rFonts w:ascii="Open Sans" w:hAnsi="Open Sans" w:cs="Open Sans"/>
        </w:rPr>
        <w:t>clear</w:t>
      </w:r>
      <w:r w:rsidRPr="00221125">
        <w:rPr>
          <w:rFonts w:ascii="Open Sans" w:hAnsi="Open Sans" w:cs="Open Sans"/>
        </w:rPr>
        <w:t xml:space="preserve"> rationale for intervention</w:t>
      </w:r>
      <w:r w:rsidR="00DB04D3">
        <w:rPr>
          <w:rFonts w:ascii="Open Sans" w:hAnsi="Open Sans" w:cs="Open Sans"/>
        </w:rPr>
        <w:t xml:space="preserve">. </w:t>
      </w:r>
    </w:p>
    <w:p w:rsidR="001B0BCC" w:rsidRPr="00221125" w:rsidRDefault="00C957F1" w:rsidP="00A27F22">
      <w:pPr>
        <w:pStyle w:val="BodyText"/>
        <w:rPr>
          <w:rFonts w:ascii="Open Sans" w:hAnsi="Open Sans" w:cs="Open Sans"/>
        </w:rPr>
      </w:pPr>
      <w:r>
        <w:rPr>
          <w:rFonts w:ascii="Open Sans" w:hAnsi="Open Sans" w:cs="Open Sans"/>
        </w:rPr>
        <w:t xml:space="preserve">Without a locally shared vision for </w:t>
      </w:r>
      <w:r w:rsidRPr="00C957F1">
        <w:rPr>
          <w:rFonts w:ascii="Open Sans" w:hAnsi="Open Sans" w:cs="Open Sans"/>
        </w:rPr>
        <w:t>support</w:t>
      </w:r>
      <w:r>
        <w:rPr>
          <w:rFonts w:ascii="Open Sans" w:hAnsi="Open Sans" w:cs="Open Sans"/>
        </w:rPr>
        <w:t>ing</w:t>
      </w:r>
      <w:r w:rsidRPr="00C957F1">
        <w:rPr>
          <w:rFonts w:ascii="Open Sans" w:hAnsi="Open Sans" w:cs="Open Sans"/>
        </w:rPr>
        <w:t xml:space="preserve"> and develop</w:t>
      </w:r>
      <w:r>
        <w:rPr>
          <w:rFonts w:ascii="Open Sans" w:hAnsi="Open Sans" w:cs="Open Sans"/>
        </w:rPr>
        <w:t>ing</w:t>
      </w:r>
      <w:r w:rsidRPr="00C957F1">
        <w:rPr>
          <w:rFonts w:ascii="Open Sans" w:hAnsi="Open Sans" w:cs="Open Sans"/>
        </w:rPr>
        <w:t xml:space="preserve"> people and places</w:t>
      </w:r>
      <w:r>
        <w:rPr>
          <w:rFonts w:ascii="Open Sans" w:hAnsi="Open Sans" w:cs="Open Sans"/>
        </w:rPr>
        <w:t>, the potential for a bringing together of all institutions will be diminished. To increase</w:t>
      </w:r>
      <w:r w:rsidRPr="00C957F1">
        <w:rPr>
          <w:rFonts w:ascii="Open Sans" w:hAnsi="Open Sans" w:cs="Open Sans"/>
        </w:rPr>
        <w:t xml:space="preserve"> the pace and scale of collaboration within and between organisations,</w:t>
      </w:r>
      <w:r>
        <w:rPr>
          <w:rFonts w:ascii="Open Sans" w:hAnsi="Open Sans" w:cs="Open Sans"/>
        </w:rPr>
        <w:t xml:space="preserve"> all need to be able to buy into an ultimate vision for their place and see clearly their role in realising that vision.</w:t>
      </w:r>
      <w:r w:rsidR="006A622A">
        <w:rPr>
          <w:rFonts w:ascii="Open Sans" w:hAnsi="Open Sans" w:cs="Open Sans"/>
        </w:rPr>
        <w:t xml:space="preserve"> </w:t>
      </w:r>
      <w:r w:rsidR="00A27F22" w:rsidRPr="00A27F22">
        <w:rPr>
          <w:rFonts w:ascii="Open Sans" w:hAnsi="Open Sans" w:cs="Open Sans"/>
        </w:rPr>
        <w:t>Local government</w:t>
      </w:r>
      <w:r w:rsidR="006A622A" w:rsidRPr="00A27F22">
        <w:rPr>
          <w:rFonts w:ascii="Open Sans" w:hAnsi="Open Sans" w:cs="Open Sans"/>
        </w:rPr>
        <w:t xml:space="preserve"> play</w:t>
      </w:r>
      <w:r w:rsidR="00A27F22" w:rsidRPr="00A27F22">
        <w:rPr>
          <w:rFonts w:ascii="Open Sans" w:hAnsi="Open Sans" w:cs="Open Sans"/>
        </w:rPr>
        <w:t>’</w:t>
      </w:r>
      <w:r w:rsidR="006A622A" w:rsidRPr="00A27F22">
        <w:rPr>
          <w:rFonts w:ascii="Open Sans" w:hAnsi="Open Sans" w:cs="Open Sans"/>
        </w:rPr>
        <w:t>s a coagulant role</w:t>
      </w:r>
      <w:r w:rsidR="00A27F22" w:rsidRPr="00A27F22">
        <w:rPr>
          <w:rFonts w:ascii="Open Sans" w:hAnsi="Open Sans" w:cs="Open Sans"/>
        </w:rPr>
        <w:t xml:space="preserve"> and can steward and</w:t>
      </w:r>
      <w:r w:rsidR="00A27F22">
        <w:rPr>
          <w:rFonts w:ascii="Open Sans" w:hAnsi="Open Sans" w:cs="Open Sans"/>
        </w:rPr>
        <w:t xml:space="preserve"> foster a direction for a place</w:t>
      </w:r>
      <w:r w:rsidR="008054BE">
        <w:rPr>
          <w:rFonts w:ascii="Open Sans" w:hAnsi="Open Sans" w:cs="Open Sans"/>
        </w:rPr>
        <w:t>,</w:t>
      </w:r>
      <w:r w:rsidR="00A27F22">
        <w:rPr>
          <w:rFonts w:ascii="Open Sans" w:hAnsi="Open Sans" w:cs="Open Sans"/>
        </w:rPr>
        <w:t xml:space="preserve"> and it therefore has a key role to play in developing this shared vision. </w:t>
      </w:r>
    </w:p>
    <w:p w:rsidR="00E559F5" w:rsidRDefault="00E559F5" w:rsidP="00E559F5">
      <w:pPr>
        <w:pStyle w:val="Heading2"/>
        <w:rPr>
          <w:rFonts w:ascii="Open Sans" w:hAnsi="Open Sans" w:cs="Open Sans"/>
        </w:rPr>
      </w:pPr>
      <w:bookmarkStart w:id="11" w:name="_Toc495660129"/>
      <w:r w:rsidRPr="00E559F5">
        <w:rPr>
          <w:rFonts w:ascii="Open Sans" w:hAnsi="Open Sans" w:cs="Open Sans"/>
        </w:rPr>
        <w:t>Setting the wider strategy</w:t>
      </w:r>
      <w:bookmarkEnd w:id="11"/>
    </w:p>
    <w:p w:rsidR="00E559F5" w:rsidRDefault="00221125" w:rsidP="00E559F5">
      <w:pPr>
        <w:pStyle w:val="BodyText"/>
        <w:rPr>
          <w:rFonts w:ascii="Open Sans" w:hAnsi="Open Sans" w:cs="Open Sans"/>
        </w:rPr>
      </w:pPr>
      <w:r>
        <w:rPr>
          <w:rFonts w:ascii="Open Sans" w:hAnsi="Open Sans" w:cs="Open Sans"/>
        </w:rPr>
        <w:t xml:space="preserve">Doncaster has seized the opportunity with the refresh of its economic strategy to embed more inclusive approaches to economic growth. The Doncaster </w:t>
      </w:r>
      <w:r w:rsidR="00E559F5" w:rsidRPr="00E559F5">
        <w:rPr>
          <w:rFonts w:ascii="Open Sans" w:hAnsi="Open Sans" w:cs="Open Sans"/>
        </w:rPr>
        <w:t xml:space="preserve">Inclusive Economic Growth Strategy </w:t>
      </w:r>
      <w:r w:rsidR="00A81702">
        <w:rPr>
          <w:rFonts w:ascii="Open Sans" w:hAnsi="Open Sans" w:cs="Open Sans"/>
        </w:rPr>
        <w:t>sets the platform</w:t>
      </w:r>
      <w:r w:rsidR="00F03485">
        <w:rPr>
          <w:rFonts w:ascii="Open Sans" w:hAnsi="Open Sans" w:cs="Open Sans"/>
        </w:rPr>
        <w:t xml:space="preserve"> for a more inclusive growth trajectory</w:t>
      </w:r>
      <w:r>
        <w:rPr>
          <w:rFonts w:ascii="Open Sans" w:hAnsi="Open Sans" w:cs="Open Sans"/>
        </w:rPr>
        <w:t xml:space="preserve">, provides a strategic frame to direct local economic development over the next 5 years (2018-22) </w:t>
      </w:r>
      <w:r w:rsidR="008054BE">
        <w:rPr>
          <w:rFonts w:ascii="Open Sans" w:hAnsi="Open Sans" w:cs="Open Sans"/>
        </w:rPr>
        <w:t>and opens the door for an anchor i</w:t>
      </w:r>
      <w:r>
        <w:rPr>
          <w:rFonts w:ascii="Open Sans" w:hAnsi="Open Sans" w:cs="Open Sans"/>
        </w:rPr>
        <w:t>nstitution strategy with a c</w:t>
      </w:r>
      <w:r w:rsidR="00F03485">
        <w:rPr>
          <w:rFonts w:ascii="Open Sans" w:hAnsi="Open Sans" w:cs="Open Sans"/>
        </w:rPr>
        <w:t xml:space="preserve">ommunity wealth building focus. </w:t>
      </w:r>
      <w:r w:rsidR="00A81702">
        <w:rPr>
          <w:rFonts w:ascii="Open Sans" w:hAnsi="Open Sans" w:cs="Open Sans"/>
        </w:rPr>
        <w:t xml:space="preserve"> </w:t>
      </w:r>
    </w:p>
    <w:p w:rsidR="0070484C" w:rsidRDefault="00A27F22" w:rsidP="00E559F5">
      <w:pPr>
        <w:pStyle w:val="BodyText"/>
        <w:rPr>
          <w:rFonts w:ascii="Open Sans" w:hAnsi="Open Sans" w:cs="Open Sans"/>
        </w:rPr>
      </w:pPr>
      <w:r>
        <w:rPr>
          <w:rFonts w:ascii="Open Sans" w:hAnsi="Open Sans" w:cs="Open Sans"/>
        </w:rPr>
        <w:t xml:space="preserve">Through its </w:t>
      </w:r>
      <w:r w:rsidRPr="00A27F22">
        <w:rPr>
          <w:rFonts w:ascii="Open Sans" w:hAnsi="Open Sans" w:cs="Open Sans"/>
        </w:rPr>
        <w:t xml:space="preserve">Team Doncaster </w:t>
      </w:r>
      <w:r w:rsidR="005E4FDD" w:rsidRPr="00A27F22">
        <w:rPr>
          <w:rFonts w:ascii="Open Sans" w:hAnsi="Open Sans" w:cs="Open Sans"/>
        </w:rPr>
        <w:t>approach,</w:t>
      </w:r>
      <w:r w:rsidRPr="00A27F22">
        <w:rPr>
          <w:rFonts w:ascii="Open Sans" w:hAnsi="Open Sans" w:cs="Open Sans"/>
        </w:rPr>
        <w:t xml:space="preserve"> </w:t>
      </w:r>
      <w:r w:rsidR="001F3BC8">
        <w:rPr>
          <w:rFonts w:ascii="Open Sans" w:hAnsi="Open Sans" w:cs="Open Sans"/>
        </w:rPr>
        <w:t>Doncaster is</w:t>
      </w:r>
      <w:r w:rsidR="00B82FE6">
        <w:rPr>
          <w:rFonts w:ascii="Open Sans" w:hAnsi="Open Sans" w:cs="Open Sans"/>
        </w:rPr>
        <w:t xml:space="preserve"> on a path to developing more inclusive models of governance and it will be critical to work with </w:t>
      </w:r>
      <w:r w:rsidR="00B82FE6" w:rsidRPr="00B82FE6">
        <w:rPr>
          <w:rFonts w:ascii="Open Sans" w:hAnsi="Open Sans" w:cs="Open Sans"/>
        </w:rPr>
        <w:t>the public, private and community &amp; voluntary sector</w:t>
      </w:r>
      <w:r w:rsidR="00B82FE6">
        <w:rPr>
          <w:rFonts w:ascii="Open Sans" w:hAnsi="Open Sans" w:cs="Open Sans"/>
        </w:rPr>
        <w:t xml:space="preserve">s to deliver more inclusive growth from within. </w:t>
      </w:r>
    </w:p>
    <w:tbl>
      <w:tblPr>
        <w:tblStyle w:val="TableGrid"/>
        <w:tblW w:w="8900" w:type="dxa"/>
        <w:tblInd w:w="907" w:type="dxa"/>
        <w:tblBorders>
          <w:top w:val="single" w:sz="24" w:space="0" w:color="339966"/>
          <w:left w:val="single" w:sz="24" w:space="0" w:color="339966"/>
          <w:bottom w:val="single" w:sz="24" w:space="0" w:color="339966"/>
          <w:right w:val="single" w:sz="24" w:space="0" w:color="339966"/>
          <w:insideH w:val="none" w:sz="0" w:space="0" w:color="auto"/>
          <w:insideV w:val="none" w:sz="0" w:space="0" w:color="auto"/>
        </w:tblBorders>
        <w:tblLayout w:type="fixed"/>
        <w:tblCellMar>
          <w:top w:w="170" w:type="dxa"/>
          <w:left w:w="170" w:type="dxa"/>
          <w:right w:w="170" w:type="dxa"/>
        </w:tblCellMar>
        <w:tblLook w:val="04A0" w:firstRow="1" w:lastRow="0" w:firstColumn="1" w:lastColumn="0" w:noHBand="0" w:noVBand="1"/>
      </w:tblPr>
      <w:tblGrid>
        <w:gridCol w:w="8900"/>
      </w:tblGrid>
      <w:tr w:rsidR="00352322" w:rsidTr="00352322">
        <w:tc>
          <w:tcPr>
            <w:tcW w:w="9629" w:type="dxa"/>
            <w:shd w:val="clear" w:color="auto" w:fill="auto"/>
          </w:tcPr>
          <w:p w:rsidR="00352322" w:rsidRPr="001F3BC8" w:rsidRDefault="00352322" w:rsidP="00352322">
            <w:pPr>
              <w:pStyle w:val="Box1Text"/>
              <w:rPr>
                <w:rFonts w:ascii="Open Sans" w:hAnsi="Open Sans" w:cs="Open Sans"/>
                <w:b/>
              </w:rPr>
            </w:pPr>
            <w:r w:rsidRPr="001F3BC8">
              <w:rPr>
                <w:rFonts w:ascii="Open Sans" w:hAnsi="Open Sans" w:cs="Open Sans"/>
                <w:b/>
              </w:rPr>
              <w:t>Team Doncaster</w:t>
            </w:r>
          </w:p>
          <w:p w:rsidR="00A97D7A" w:rsidRDefault="00352322" w:rsidP="00352322">
            <w:pPr>
              <w:pStyle w:val="BodyText"/>
              <w:ind w:left="0"/>
              <w:rPr>
                <w:rFonts w:ascii="Open Sans" w:hAnsi="Open Sans" w:cs="Open Sans"/>
              </w:rPr>
            </w:pPr>
            <w:r w:rsidRPr="00F323F3">
              <w:rPr>
                <w:rFonts w:ascii="Open Sans" w:hAnsi="Open Sans" w:cs="Open Sans"/>
              </w:rPr>
              <w:t>Team Doncaster has an ethos of collaboration, progress, and positivity. "Team Doncaster" is the name and ethos behind Doncaster’s Local Strategic Partnership. It brings together organisations and individuals from the public, private, voluntary and community sectors to take shared ownership and responsibility for Doncaster's vision, leadership and direction.</w:t>
            </w:r>
            <w:r w:rsidR="001F3BC8">
              <w:rPr>
                <w:rFonts w:ascii="Open Sans" w:hAnsi="Open Sans" w:cs="Open Sans"/>
              </w:rPr>
              <w:t xml:space="preserve"> From this strong foundation of committed anchor institutions there is an opportunity to build an anchor institution strategy by engaging Team Doncaster members, introducing the concept of community wealth building, understanding individual anchors priorities and promoting co-operation</w:t>
            </w:r>
            <w:r w:rsidR="00A97D7A">
              <w:rPr>
                <w:rFonts w:ascii="Open Sans" w:hAnsi="Open Sans" w:cs="Open Sans"/>
              </w:rPr>
              <w:t xml:space="preserve"> between institutions. Having the Chamber of Commerce and the Enterprising Doncaster board embedded in the approach can support a balanced approach to demand and supply, making the most of opportunities locally.</w:t>
            </w:r>
          </w:p>
          <w:p w:rsidR="00352322" w:rsidRDefault="00A97D7A" w:rsidP="00352322">
            <w:pPr>
              <w:pStyle w:val="BodyText"/>
              <w:ind w:left="0"/>
              <w:rPr>
                <w:rFonts w:ascii="Open Sans" w:hAnsi="Open Sans" w:cs="Open Sans"/>
              </w:rPr>
            </w:pPr>
            <w:r>
              <w:rPr>
                <w:rFonts w:ascii="Open Sans" w:hAnsi="Open Sans" w:cs="Open Sans"/>
              </w:rPr>
              <w:t xml:space="preserve">Team Doncaster members include:  </w:t>
            </w:r>
            <w:r w:rsidR="001F3BC8">
              <w:rPr>
                <w:rFonts w:ascii="Open Sans" w:hAnsi="Open Sans" w:cs="Open Sans"/>
              </w:rPr>
              <w:t xml:space="preserve"> </w:t>
            </w:r>
          </w:p>
          <w:p w:rsidR="00F323F3" w:rsidRDefault="00F323F3" w:rsidP="001F3BC8">
            <w:pPr>
              <w:pStyle w:val="BodyText"/>
              <w:numPr>
                <w:ilvl w:val="0"/>
                <w:numId w:val="32"/>
              </w:numPr>
              <w:spacing w:after="0"/>
              <w:ind w:left="714" w:hanging="357"/>
              <w:rPr>
                <w:rFonts w:ascii="Open Sans" w:hAnsi="Open Sans" w:cs="Open Sans"/>
              </w:rPr>
            </w:pPr>
            <w:r w:rsidRPr="00F323F3">
              <w:rPr>
                <w:rFonts w:ascii="Open Sans" w:hAnsi="Open Sans" w:cs="Open Sans"/>
              </w:rPr>
              <w:t>Doncaster</w:t>
            </w:r>
            <w:r>
              <w:rPr>
                <w:rFonts w:ascii="Open Sans" w:hAnsi="Open Sans" w:cs="Open Sans"/>
              </w:rPr>
              <w:t xml:space="preserve"> </w:t>
            </w:r>
            <w:r w:rsidRPr="00F323F3">
              <w:rPr>
                <w:rFonts w:ascii="Open Sans" w:hAnsi="Open Sans" w:cs="Open Sans"/>
              </w:rPr>
              <w:t>Metropolitan Borough Council</w:t>
            </w:r>
          </w:p>
          <w:p w:rsidR="00F323F3" w:rsidRDefault="00F323F3" w:rsidP="001F3BC8">
            <w:pPr>
              <w:pStyle w:val="BodyText"/>
              <w:numPr>
                <w:ilvl w:val="0"/>
                <w:numId w:val="32"/>
              </w:numPr>
              <w:spacing w:after="0"/>
              <w:ind w:left="714" w:hanging="357"/>
              <w:rPr>
                <w:rFonts w:ascii="Open Sans" w:hAnsi="Open Sans" w:cs="Open Sans"/>
              </w:rPr>
            </w:pPr>
            <w:r w:rsidRPr="00F323F3">
              <w:rPr>
                <w:rFonts w:ascii="Open Sans" w:hAnsi="Open Sans" w:cs="Open Sans"/>
              </w:rPr>
              <w:t>Doncaster</w:t>
            </w:r>
            <w:r>
              <w:rPr>
                <w:rFonts w:ascii="Open Sans" w:hAnsi="Open Sans" w:cs="Open Sans"/>
              </w:rPr>
              <w:t xml:space="preserve"> </w:t>
            </w:r>
            <w:r w:rsidRPr="00F323F3">
              <w:rPr>
                <w:rFonts w:ascii="Open Sans" w:hAnsi="Open Sans" w:cs="Open Sans"/>
              </w:rPr>
              <w:t>Bassetlaw Hospital NHS</w:t>
            </w:r>
            <w:r>
              <w:rPr>
                <w:rFonts w:ascii="Open Sans" w:hAnsi="Open Sans" w:cs="Open Sans"/>
              </w:rPr>
              <w:t xml:space="preserve"> </w:t>
            </w:r>
            <w:r w:rsidRPr="00F323F3">
              <w:rPr>
                <w:rFonts w:ascii="Open Sans" w:hAnsi="Open Sans" w:cs="Open Sans"/>
              </w:rPr>
              <w:t>Foundation Trust</w:t>
            </w:r>
          </w:p>
          <w:p w:rsidR="001F3BC8" w:rsidRDefault="001F3BC8" w:rsidP="001F3BC8">
            <w:pPr>
              <w:pStyle w:val="BodyText"/>
              <w:numPr>
                <w:ilvl w:val="0"/>
                <w:numId w:val="32"/>
              </w:numPr>
              <w:spacing w:after="0"/>
              <w:ind w:left="714" w:hanging="357"/>
              <w:rPr>
                <w:rFonts w:ascii="Open Sans" w:hAnsi="Open Sans" w:cs="Open Sans"/>
              </w:rPr>
            </w:pPr>
            <w:r w:rsidRPr="001F3BC8">
              <w:rPr>
                <w:rFonts w:ascii="Open Sans" w:hAnsi="Open Sans" w:cs="Open Sans"/>
              </w:rPr>
              <w:t>Rotherham,</w:t>
            </w:r>
            <w:r>
              <w:rPr>
                <w:rFonts w:ascii="Open Sans" w:hAnsi="Open Sans" w:cs="Open Sans"/>
              </w:rPr>
              <w:t xml:space="preserve"> </w:t>
            </w:r>
            <w:r w:rsidRPr="001F3BC8">
              <w:rPr>
                <w:rFonts w:ascii="Open Sans" w:hAnsi="Open Sans" w:cs="Open Sans"/>
              </w:rPr>
              <w:t>Doncaster and South Humber</w:t>
            </w:r>
            <w:r>
              <w:rPr>
                <w:rFonts w:ascii="Open Sans" w:hAnsi="Open Sans" w:cs="Open Sans"/>
              </w:rPr>
              <w:t xml:space="preserve"> </w:t>
            </w:r>
            <w:r w:rsidRPr="001F3BC8">
              <w:rPr>
                <w:rFonts w:ascii="Open Sans" w:hAnsi="Open Sans" w:cs="Open Sans"/>
              </w:rPr>
              <w:t>NHS Foundation Trust</w:t>
            </w:r>
          </w:p>
          <w:p w:rsidR="00F323F3" w:rsidRDefault="00F323F3" w:rsidP="001F3BC8">
            <w:pPr>
              <w:pStyle w:val="BodyText"/>
              <w:numPr>
                <w:ilvl w:val="0"/>
                <w:numId w:val="32"/>
              </w:numPr>
              <w:spacing w:after="0"/>
              <w:ind w:left="714" w:hanging="357"/>
              <w:rPr>
                <w:rFonts w:ascii="Open Sans" w:hAnsi="Open Sans" w:cs="Open Sans"/>
              </w:rPr>
            </w:pPr>
            <w:r w:rsidRPr="00F323F3">
              <w:rPr>
                <w:rFonts w:ascii="Open Sans" w:hAnsi="Open Sans" w:cs="Open Sans"/>
              </w:rPr>
              <w:t>Doncaster</w:t>
            </w:r>
            <w:r>
              <w:rPr>
                <w:rFonts w:ascii="Open Sans" w:hAnsi="Open Sans" w:cs="Open Sans"/>
              </w:rPr>
              <w:t xml:space="preserve"> </w:t>
            </w:r>
            <w:r w:rsidRPr="00F323F3">
              <w:rPr>
                <w:rFonts w:ascii="Open Sans" w:hAnsi="Open Sans" w:cs="Open Sans"/>
              </w:rPr>
              <w:t>Clinical Commissioning Group</w:t>
            </w:r>
            <w:r>
              <w:rPr>
                <w:rFonts w:ascii="Open Sans" w:hAnsi="Open Sans" w:cs="Open Sans"/>
              </w:rPr>
              <w:t xml:space="preserve"> </w:t>
            </w:r>
            <w:r w:rsidRPr="00F323F3">
              <w:rPr>
                <w:rFonts w:ascii="Open Sans" w:hAnsi="Open Sans" w:cs="Open Sans"/>
              </w:rPr>
              <w:t>NHS</w:t>
            </w:r>
          </w:p>
          <w:p w:rsidR="001F3BC8" w:rsidRDefault="001F3BC8" w:rsidP="001F3BC8">
            <w:pPr>
              <w:pStyle w:val="BodyText"/>
              <w:numPr>
                <w:ilvl w:val="0"/>
                <w:numId w:val="32"/>
              </w:numPr>
              <w:spacing w:after="0"/>
              <w:ind w:left="714" w:hanging="357"/>
              <w:rPr>
                <w:rFonts w:ascii="Open Sans" w:hAnsi="Open Sans" w:cs="Open Sans"/>
              </w:rPr>
            </w:pPr>
            <w:r w:rsidRPr="001F3BC8">
              <w:rPr>
                <w:rFonts w:ascii="Open Sans" w:hAnsi="Open Sans" w:cs="Open Sans"/>
              </w:rPr>
              <w:t>Health and</w:t>
            </w:r>
            <w:r>
              <w:rPr>
                <w:rFonts w:ascii="Open Sans" w:hAnsi="Open Sans" w:cs="Open Sans"/>
              </w:rPr>
              <w:t xml:space="preserve"> </w:t>
            </w:r>
            <w:r w:rsidRPr="001F3BC8">
              <w:rPr>
                <w:rFonts w:ascii="Open Sans" w:hAnsi="Open Sans" w:cs="Open Sans"/>
              </w:rPr>
              <w:t>Wellbeing Board</w:t>
            </w:r>
          </w:p>
          <w:p w:rsidR="00F77899" w:rsidRDefault="00F77899" w:rsidP="001F3BC8">
            <w:pPr>
              <w:pStyle w:val="BodyText"/>
              <w:numPr>
                <w:ilvl w:val="0"/>
                <w:numId w:val="32"/>
              </w:numPr>
              <w:spacing w:after="0"/>
              <w:ind w:left="714" w:hanging="357"/>
              <w:rPr>
                <w:rFonts w:ascii="Open Sans" w:hAnsi="Open Sans" w:cs="Open Sans"/>
              </w:rPr>
            </w:pPr>
            <w:r w:rsidRPr="00F77899">
              <w:rPr>
                <w:rFonts w:ascii="Open Sans" w:hAnsi="Open Sans" w:cs="Open Sans"/>
              </w:rPr>
              <w:t>South</w:t>
            </w:r>
            <w:r w:rsidR="001F3BC8">
              <w:rPr>
                <w:rFonts w:ascii="Open Sans" w:hAnsi="Open Sans" w:cs="Open Sans"/>
              </w:rPr>
              <w:t xml:space="preserve"> </w:t>
            </w:r>
            <w:r w:rsidRPr="00F77899">
              <w:rPr>
                <w:rFonts w:ascii="Open Sans" w:hAnsi="Open Sans" w:cs="Open Sans"/>
              </w:rPr>
              <w:t>Yorkshire Fire and Rescue Service</w:t>
            </w:r>
          </w:p>
          <w:p w:rsidR="001F3BC8" w:rsidRDefault="001F3BC8" w:rsidP="001F3BC8">
            <w:pPr>
              <w:pStyle w:val="BodyText"/>
              <w:numPr>
                <w:ilvl w:val="0"/>
                <w:numId w:val="32"/>
              </w:numPr>
              <w:spacing w:after="0"/>
              <w:ind w:left="714" w:hanging="357"/>
              <w:rPr>
                <w:rFonts w:ascii="Open Sans" w:hAnsi="Open Sans" w:cs="Open Sans"/>
              </w:rPr>
            </w:pPr>
            <w:r w:rsidRPr="001F3BC8">
              <w:rPr>
                <w:rFonts w:ascii="Open Sans" w:hAnsi="Open Sans" w:cs="Open Sans"/>
              </w:rPr>
              <w:t>South</w:t>
            </w:r>
            <w:r>
              <w:rPr>
                <w:rFonts w:ascii="Open Sans" w:hAnsi="Open Sans" w:cs="Open Sans"/>
              </w:rPr>
              <w:t xml:space="preserve"> </w:t>
            </w:r>
            <w:r w:rsidRPr="001F3BC8">
              <w:rPr>
                <w:rFonts w:ascii="Open Sans" w:hAnsi="Open Sans" w:cs="Open Sans"/>
              </w:rPr>
              <w:t>Yorkshire Police</w:t>
            </w:r>
          </w:p>
          <w:p w:rsidR="001F3BC8" w:rsidRDefault="001F3BC8" w:rsidP="001F3BC8">
            <w:pPr>
              <w:pStyle w:val="BodyText"/>
              <w:numPr>
                <w:ilvl w:val="0"/>
                <w:numId w:val="32"/>
              </w:numPr>
              <w:spacing w:after="0"/>
              <w:ind w:left="714" w:hanging="357"/>
              <w:rPr>
                <w:rFonts w:ascii="Open Sans" w:hAnsi="Open Sans" w:cs="Open Sans"/>
              </w:rPr>
            </w:pPr>
            <w:r w:rsidRPr="001F3BC8">
              <w:rPr>
                <w:rFonts w:ascii="Open Sans" w:hAnsi="Open Sans" w:cs="Open Sans"/>
              </w:rPr>
              <w:t>Doncaster</w:t>
            </w:r>
            <w:r>
              <w:rPr>
                <w:rFonts w:ascii="Open Sans" w:hAnsi="Open Sans" w:cs="Open Sans"/>
              </w:rPr>
              <w:t xml:space="preserve"> </w:t>
            </w:r>
            <w:r w:rsidRPr="001F3BC8">
              <w:rPr>
                <w:rFonts w:ascii="Open Sans" w:hAnsi="Open Sans" w:cs="Open Sans"/>
              </w:rPr>
              <w:t>Chamber of Commerce</w:t>
            </w:r>
          </w:p>
          <w:p w:rsidR="001F3BC8" w:rsidRDefault="001F3BC8" w:rsidP="001F3BC8">
            <w:pPr>
              <w:pStyle w:val="BodyText"/>
              <w:numPr>
                <w:ilvl w:val="0"/>
                <w:numId w:val="32"/>
              </w:numPr>
              <w:spacing w:after="0"/>
              <w:ind w:left="714" w:hanging="357"/>
              <w:rPr>
                <w:rFonts w:ascii="Open Sans" w:hAnsi="Open Sans" w:cs="Open Sans"/>
              </w:rPr>
            </w:pPr>
            <w:r w:rsidRPr="001F3BC8">
              <w:rPr>
                <w:rFonts w:ascii="Open Sans" w:hAnsi="Open Sans" w:cs="Open Sans"/>
              </w:rPr>
              <w:t>Doncaster</w:t>
            </w:r>
            <w:r>
              <w:rPr>
                <w:rFonts w:ascii="Open Sans" w:hAnsi="Open Sans" w:cs="Open Sans"/>
              </w:rPr>
              <w:t xml:space="preserve"> </w:t>
            </w:r>
            <w:r w:rsidRPr="001F3BC8">
              <w:rPr>
                <w:rFonts w:ascii="Open Sans" w:hAnsi="Open Sans" w:cs="Open Sans"/>
              </w:rPr>
              <w:t>College and University Centre</w:t>
            </w:r>
          </w:p>
          <w:p w:rsidR="001F3BC8" w:rsidRDefault="001F3BC8" w:rsidP="001F3BC8">
            <w:pPr>
              <w:pStyle w:val="BodyText"/>
              <w:numPr>
                <w:ilvl w:val="0"/>
                <w:numId w:val="32"/>
              </w:numPr>
              <w:spacing w:after="0"/>
              <w:ind w:left="714" w:hanging="357"/>
              <w:rPr>
                <w:rFonts w:ascii="Open Sans" w:hAnsi="Open Sans" w:cs="Open Sans"/>
              </w:rPr>
            </w:pPr>
            <w:r w:rsidRPr="001F3BC8">
              <w:rPr>
                <w:rFonts w:ascii="Open Sans" w:hAnsi="Open Sans" w:cs="Open Sans"/>
              </w:rPr>
              <w:t>Enterprising</w:t>
            </w:r>
            <w:r>
              <w:rPr>
                <w:rFonts w:ascii="Open Sans" w:hAnsi="Open Sans" w:cs="Open Sans"/>
              </w:rPr>
              <w:t xml:space="preserve"> </w:t>
            </w:r>
            <w:r w:rsidRPr="001F3BC8">
              <w:rPr>
                <w:rFonts w:ascii="Open Sans" w:hAnsi="Open Sans" w:cs="Open Sans"/>
              </w:rPr>
              <w:t>Doncaster Board</w:t>
            </w:r>
          </w:p>
          <w:p w:rsidR="001F3BC8" w:rsidRDefault="001F3BC8" w:rsidP="001F3BC8">
            <w:pPr>
              <w:pStyle w:val="BodyText"/>
              <w:numPr>
                <w:ilvl w:val="0"/>
                <w:numId w:val="32"/>
              </w:numPr>
              <w:spacing w:after="0"/>
              <w:ind w:left="714" w:hanging="357"/>
              <w:rPr>
                <w:rFonts w:ascii="Open Sans" w:hAnsi="Open Sans" w:cs="Open Sans"/>
              </w:rPr>
            </w:pPr>
            <w:r w:rsidRPr="001F3BC8">
              <w:rPr>
                <w:rFonts w:ascii="Open Sans" w:hAnsi="Open Sans" w:cs="Open Sans"/>
              </w:rPr>
              <w:t>Children and</w:t>
            </w:r>
            <w:r>
              <w:rPr>
                <w:rFonts w:ascii="Open Sans" w:hAnsi="Open Sans" w:cs="Open Sans"/>
              </w:rPr>
              <w:t xml:space="preserve"> </w:t>
            </w:r>
            <w:r w:rsidRPr="001F3BC8">
              <w:rPr>
                <w:rFonts w:ascii="Open Sans" w:hAnsi="Open Sans" w:cs="Open Sans"/>
              </w:rPr>
              <w:t>Families Board</w:t>
            </w:r>
          </w:p>
          <w:p w:rsidR="001F3BC8" w:rsidRDefault="001F3BC8" w:rsidP="001F3BC8">
            <w:pPr>
              <w:pStyle w:val="BodyText"/>
              <w:numPr>
                <w:ilvl w:val="0"/>
                <w:numId w:val="32"/>
              </w:numPr>
              <w:spacing w:after="0"/>
              <w:ind w:left="714" w:hanging="357"/>
              <w:rPr>
                <w:rFonts w:ascii="Open Sans" w:hAnsi="Open Sans" w:cs="Open Sans"/>
              </w:rPr>
            </w:pPr>
            <w:r w:rsidRPr="001F3BC8">
              <w:rPr>
                <w:rFonts w:ascii="Open Sans" w:hAnsi="Open Sans" w:cs="Open Sans"/>
              </w:rPr>
              <w:t>Safer and</w:t>
            </w:r>
            <w:r>
              <w:rPr>
                <w:rFonts w:ascii="Open Sans" w:hAnsi="Open Sans" w:cs="Open Sans"/>
              </w:rPr>
              <w:t xml:space="preserve"> </w:t>
            </w:r>
            <w:r w:rsidRPr="001F3BC8">
              <w:rPr>
                <w:rFonts w:ascii="Open Sans" w:hAnsi="Open Sans" w:cs="Open Sans"/>
              </w:rPr>
              <w:t>Stronger Communities Board</w:t>
            </w:r>
          </w:p>
          <w:p w:rsidR="00352322" w:rsidRPr="00A97D7A" w:rsidRDefault="001F3BC8" w:rsidP="00A97D7A">
            <w:pPr>
              <w:pStyle w:val="BodyText"/>
              <w:numPr>
                <w:ilvl w:val="0"/>
                <w:numId w:val="32"/>
              </w:numPr>
              <w:spacing w:after="0"/>
              <w:ind w:left="714" w:hanging="357"/>
              <w:rPr>
                <w:rFonts w:ascii="Open Sans" w:hAnsi="Open Sans" w:cs="Open Sans"/>
              </w:rPr>
            </w:pPr>
            <w:r w:rsidRPr="001F3BC8">
              <w:rPr>
                <w:rFonts w:ascii="Open Sans" w:hAnsi="Open Sans" w:cs="Open Sans"/>
              </w:rPr>
              <w:t>St Leger</w:t>
            </w:r>
            <w:r>
              <w:rPr>
                <w:rFonts w:ascii="Open Sans" w:hAnsi="Open Sans" w:cs="Open Sans"/>
              </w:rPr>
              <w:t xml:space="preserve"> </w:t>
            </w:r>
            <w:r w:rsidRPr="001F3BC8">
              <w:rPr>
                <w:rFonts w:ascii="Open Sans" w:hAnsi="Open Sans" w:cs="Open Sans"/>
              </w:rPr>
              <w:t>Homes</w:t>
            </w:r>
          </w:p>
        </w:tc>
      </w:tr>
    </w:tbl>
    <w:p w:rsidR="00352322" w:rsidRPr="00E559F5" w:rsidRDefault="00352322" w:rsidP="00E559F5">
      <w:pPr>
        <w:pStyle w:val="BodyText"/>
        <w:rPr>
          <w:rFonts w:ascii="Open Sans" w:hAnsi="Open Sans" w:cs="Open Sans"/>
        </w:rPr>
      </w:pPr>
    </w:p>
    <w:p w:rsidR="00421C47" w:rsidRPr="00821CA8" w:rsidRDefault="00421C47" w:rsidP="00421C47">
      <w:pPr>
        <w:pStyle w:val="Heading1"/>
        <w:rPr>
          <w:rFonts w:ascii="Open Sans" w:hAnsi="Open Sans" w:cs="Open Sans"/>
        </w:rPr>
      </w:pPr>
      <w:bookmarkStart w:id="12" w:name="_Toc495660130"/>
      <w:r w:rsidRPr="00821CA8">
        <w:rPr>
          <w:rFonts w:ascii="Open Sans" w:hAnsi="Open Sans" w:cs="Open Sans"/>
        </w:rPr>
        <w:t>Building an Anchor Institution Network</w:t>
      </w:r>
      <w:bookmarkEnd w:id="12"/>
    </w:p>
    <w:p w:rsidR="00421C47" w:rsidRDefault="00421C47" w:rsidP="00801970">
      <w:pPr>
        <w:pStyle w:val="Heading2"/>
        <w:rPr>
          <w:rFonts w:ascii="Open Sans" w:hAnsi="Open Sans" w:cs="Open Sans"/>
        </w:rPr>
      </w:pPr>
      <w:bookmarkStart w:id="13" w:name="_Toc495660131"/>
      <w:r w:rsidRPr="00801970">
        <w:rPr>
          <w:rFonts w:ascii="Open Sans" w:hAnsi="Open Sans" w:cs="Open Sans"/>
        </w:rPr>
        <w:t>Identifying public and private institutions</w:t>
      </w:r>
      <w:bookmarkEnd w:id="13"/>
    </w:p>
    <w:p w:rsidR="00E559F5" w:rsidRPr="00F74E5A" w:rsidRDefault="00F03485" w:rsidP="008D26F3">
      <w:pPr>
        <w:pStyle w:val="NoSpacing"/>
        <w:ind w:left="720"/>
        <w:rPr>
          <w:rFonts w:ascii="Open Sans" w:hAnsi="Open Sans" w:cs="Open Sans"/>
        </w:rPr>
      </w:pPr>
      <w:r w:rsidRPr="00F74E5A">
        <w:rPr>
          <w:rFonts w:ascii="Open Sans" w:hAnsi="Open Sans" w:cs="Open Sans"/>
        </w:rPr>
        <w:t xml:space="preserve">Doncaster, as all places do, hosts </w:t>
      </w:r>
      <w:r w:rsidR="008054BE" w:rsidRPr="00F74E5A">
        <w:rPr>
          <w:rFonts w:ascii="Open Sans" w:hAnsi="Open Sans" w:cs="Open Sans"/>
        </w:rPr>
        <w:t>many</w:t>
      </w:r>
      <w:r w:rsidRPr="00F74E5A">
        <w:rPr>
          <w:rFonts w:ascii="Open Sans" w:hAnsi="Open Sans" w:cs="Open Sans"/>
        </w:rPr>
        <w:t xml:space="preserve"> significant public and private </w:t>
      </w:r>
      <w:r w:rsidR="008054BE" w:rsidRPr="00F74E5A">
        <w:rPr>
          <w:rFonts w:ascii="Open Sans" w:hAnsi="Open Sans" w:cs="Open Sans"/>
        </w:rPr>
        <w:t xml:space="preserve">sector </w:t>
      </w:r>
      <w:r w:rsidRPr="00F74E5A">
        <w:rPr>
          <w:rFonts w:ascii="Open Sans" w:hAnsi="Open Sans" w:cs="Open Sans"/>
        </w:rPr>
        <w:t xml:space="preserve">institutions which are rooted in the locality.  The collective spend and influence of these </w:t>
      </w:r>
      <w:r w:rsidR="008054BE" w:rsidRPr="00F74E5A">
        <w:rPr>
          <w:rFonts w:ascii="Open Sans" w:hAnsi="Open Sans" w:cs="Open Sans"/>
        </w:rPr>
        <w:t>organisations</w:t>
      </w:r>
      <w:r w:rsidR="008D26F3" w:rsidRPr="00F74E5A">
        <w:rPr>
          <w:rFonts w:ascii="Open Sans" w:hAnsi="Open Sans" w:cs="Open Sans"/>
        </w:rPr>
        <w:t xml:space="preserve"> can play a significant role in shaping local fortunes. Doncaster</w:t>
      </w:r>
      <w:r w:rsidR="006A622A" w:rsidRPr="00F74E5A">
        <w:rPr>
          <w:rFonts w:ascii="Open Sans" w:hAnsi="Open Sans" w:cs="Open Sans"/>
        </w:rPr>
        <w:t>’s</w:t>
      </w:r>
      <w:r w:rsidR="008D26F3" w:rsidRPr="00F74E5A">
        <w:rPr>
          <w:rFonts w:ascii="Open Sans" w:hAnsi="Open Sans" w:cs="Open Sans"/>
        </w:rPr>
        <w:t xml:space="preserve"> anchor institutions include, but are not limited to, the following: </w:t>
      </w:r>
      <w:r w:rsidRPr="00F74E5A">
        <w:rPr>
          <w:rFonts w:ascii="Open Sans" w:hAnsi="Open Sans" w:cs="Open Sans"/>
        </w:rPr>
        <w:t xml:space="preserve"> </w:t>
      </w:r>
    </w:p>
    <w:p w:rsidR="00E559F5" w:rsidRPr="00F74E5A" w:rsidRDefault="00E559F5" w:rsidP="00E559F5">
      <w:pPr>
        <w:pStyle w:val="ListBullet"/>
        <w:numPr>
          <w:ilvl w:val="0"/>
          <w:numId w:val="0"/>
        </w:numPr>
        <w:ind w:left="1304"/>
        <w:rPr>
          <w:rFonts w:ascii="Open Sans" w:hAnsi="Open Sans" w:cs="Open Sans"/>
        </w:rPr>
      </w:pPr>
    </w:p>
    <w:p w:rsidR="00E559F5" w:rsidRPr="00F74E5A" w:rsidRDefault="00E559F5" w:rsidP="00E559F5">
      <w:pPr>
        <w:pStyle w:val="ListBullet"/>
        <w:rPr>
          <w:rFonts w:ascii="Open Sans" w:hAnsi="Open Sans" w:cs="Open Sans"/>
        </w:rPr>
      </w:pPr>
      <w:r w:rsidRPr="00F74E5A">
        <w:rPr>
          <w:rFonts w:ascii="Open Sans" w:hAnsi="Open Sans" w:cs="Open Sans"/>
        </w:rPr>
        <w:t>Doncaster Metropolitan Borough Council</w:t>
      </w:r>
      <w:r w:rsidR="008D26F3" w:rsidRPr="00F74E5A">
        <w:rPr>
          <w:rFonts w:ascii="Open Sans" w:hAnsi="Open Sans" w:cs="Open Sans"/>
        </w:rPr>
        <w:t>;</w:t>
      </w:r>
    </w:p>
    <w:p w:rsidR="00E559F5" w:rsidRPr="00F74E5A" w:rsidRDefault="00E559F5" w:rsidP="00E559F5">
      <w:pPr>
        <w:pStyle w:val="ListBullet"/>
        <w:rPr>
          <w:rFonts w:ascii="Open Sans" w:hAnsi="Open Sans" w:cs="Open Sans"/>
        </w:rPr>
      </w:pPr>
      <w:r w:rsidRPr="00F74E5A">
        <w:rPr>
          <w:rFonts w:ascii="Open Sans" w:hAnsi="Open Sans" w:cs="Open Sans"/>
        </w:rPr>
        <w:t>Doncaster College</w:t>
      </w:r>
      <w:r w:rsidR="008D26F3" w:rsidRPr="00F74E5A">
        <w:rPr>
          <w:rFonts w:ascii="Open Sans" w:hAnsi="Open Sans" w:cs="Open Sans"/>
        </w:rPr>
        <w:t>;</w:t>
      </w:r>
    </w:p>
    <w:p w:rsidR="00207025" w:rsidRPr="00F74E5A" w:rsidRDefault="00E559F5" w:rsidP="00207025">
      <w:pPr>
        <w:pStyle w:val="ListBullet"/>
        <w:rPr>
          <w:rFonts w:ascii="Open Sans" w:hAnsi="Open Sans" w:cs="Open Sans"/>
        </w:rPr>
      </w:pPr>
      <w:r w:rsidRPr="00F74E5A">
        <w:rPr>
          <w:rFonts w:ascii="Open Sans" w:hAnsi="Open Sans" w:cs="Open Sans"/>
        </w:rPr>
        <w:t>National College for High Speed Rail</w:t>
      </w:r>
      <w:r w:rsidR="008D26F3" w:rsidRPr="00F74E5A">
        <w:rPr>
          <w:rFonts w:ascii="Open Sans" w:hAnsi="Open Sans" w:cs="Open Sans"/>
        </w:rPr>
        <w:t>;</w:t>
      </w:r>
    </w:p>
    <w:p w:rsidR="00207025" w:rsidRPr="00F74E5A" w:rsidRDefault="00207025" w:rsidP="00207025">
      <w:pPr>
        <w:pStyle w:val="ListBullet"/>
        <w:rPr>
          <w:rFonts w:ascii="Open Sans" w:hAnsi="Open Sans" w:cs="Open Sans"/>
        </w:rPr>
      </w:pPr>
      <w:r w:rsidRPr="00F74E5A">
        <w:rPr>
          <w:rFonts w:ascii="Open Sans" w:hAnsi="Open Sans" w:cs="Open Sans"/>
        </w:rPr>
        <w:t>Institute of Technology;</w:t>
      </w:r>
    </w:p>
    <w:p w:rsidR="00E559F5" w:rsidRPr="00F74E5A" w:rsidRDefault="00E559F5" w:rsidP="00E559F5">
      <w:pPr>
        <w:pStyle w:val="ListBullet"/>
        <w:rPr>
          <w:rFonts w:ascii="Open Sans" w:hAnsi="Open Sans" w:cs="Open Sans"/>
        </w:rPr>
      </w:pPr>
      <w:r w:rsidRPr="00F74E5A">
        <w:rPr>
          <w:rFonts w:ascii="Open Sans" w:hAnsi="Open Sans" w:cs="Open Sans"/>
        </w:rPr>
        <w:t>Doncaster and Bassetlaw Teaching Hospitals NHS Foundation Trust</w:t>
      </w:r>
      <w:r w:rsidR="008D26F3" w:rsidRPr="00F74E5A">
        <w:rPr>
          <w:rFonts w:ascii="Open Sans" w:hAnsi="Open Sans" w:cs="Open Sans"/>
        </w:rPr>
        <w:t>;</w:t>
      </w:r>
    </w:p>
    <w:p w:rsidR="00E559F5" w:rsidRPr="00F74E5A" w:rsidRDefault="00E559F5" w:rsidP="00E559F5">
      <w:pPr>
        <w:pStyle w:val="ListBullet"/>
        <w:rPr>
          <w:rFonts w:ascii="Open Sans" w:hAnsi="Open Sans" w:cs="Open Sans"/>
        </w:rPr>
      </w:pPr>
      <w:r w:rsidRPr="00F74E5A">
        <w:rPr>
          <w:rFonts w:ascii="Open Sans" w:hAnsi="Open Sans" w:cs="Open Sans"/>
        </w:rPr>
        <w:t>Doncaster Prison</w:t>
      </w:r>
      <w:r w:rsidR="008D26F3" w:rsidRPr="00F74E5A">
        <w:rPr>
          <w:rFonts w:ascii="Open Sans" w:hAnsi="Open Sans" w:cs="Open Sans"/>
        </w:rPr>
        <w:t>;</w:t>
      </w:r>
    </w:p>
    <w:p w:rsidR="00072E8C" w:rsidRPr="00F74E5A" w:rsidRDefault="00072E8C" w:rsidP="00E559F5">
      <w:pPr>
        <w:pStyle w:val="ListBullet"/>
        <w:rPr>
          <w:rFonts w:ascii="Open Sans" w:hAnsi="Open Sans" w:cs="Open Sans"/>
        </w:rPr>
      </w:pPr>
      <w:r w:rsidRPr="00F74E5A">
        <w:rPr>
          <w:rFonts w:ascii="Open Sans" w:hAnsi="Open Sans" w:cs="Open Sans"/>
        </w:rPr>
        <w:t>St Leger Homes;</w:t>
      </w:r>
    </w:p>
    <w:p w:rsidR="00207025" w:rsidRPr="00F74E5A" w:rsidRDefault="00E559F5" w:rsidP="00207025">
      <w:pPr>
        <w:pStyle w:val="ListBullet"/>
        <w:rPr>
          <w:rFonts w:ascii="Open Sans" w:hAnsi="Open Sans" w:cs="Open Sans"/>
        </w:rPr>
      </w:pPr>
      <w:r w:rsidRPr="00F74E5A">
        <w:rPr>
          <w:rFonts w:ascii="Open Sans" w:hAnsi="Open Sans" w:cs="Open Sans"/>
        </w:rPr>
        <w:t>Doncaster Race Course</w:t>
      </w:r>
      <w:r w:rsidR="008D26F3" w:rsidRPr="00F74E5A">
        <w:rPr>
          <w:rFonts w:ascii="Open Sans" w:hAnsi="Open Sans" w:cs="Open Sans"/>
        </w:rPr>
        <w:t>;</w:t>
      </w:r>
    </w:p>
    <w:p w:rsidR="00207025" w:rsidRPr="00F74E5A" w:rsidRDefault="00207025" w:rsidP="00207025">
      <w:pPr>
        <w:pStyle w:val="ListBullet"/>
        <w:rPr>
          <w:rFonts w:ascii="Open Sans" w:hAnsi="Open Sans" w:cs="Open Sans"/>
        </w:rPr>
      </w:pPr>
      <w:r w:rsidRPr="00F74E5A">
        <w:rPr>
          <w:rFonts w:ascii="Open Sans" w:hAnsi="Open Sans" w:cs="Open Sans"/>
        </w:rPr>
        <w:t>PGA European Tour at Rossington Hall;</w:t>
      </w:r>
    </w:p>
    <w:p w:rsidR="00072E8C" w:rsidRPr="00F74E5A" w:rsidRDefault="00E559F5" w:rsidP="00072E8C">
      <w:pPr>
        <w:pStyle w:val="ListBullet"/>
        <w:rPr>
          <w:rFonts w:ascii="Open Sans" w:hAnsi="Open Sans" w:cs="Open Sans"/>
        </w:rPr>
      </w:pPr>
      <w:r w:rsidRPr="00F74E5A">
        <w:rPr>
          <w:rFonts w:ascii="Open Sans" w:hAnsi="Open Sans" w:cs="Open Sans"/>
        </w:rPr>
        <w:t>Robin Hood Doncaster-Sheffield Airport</w:t>
      </w:r>
      <w:r w:rsidR="00207025" w:rsidRPr="00F74E5A">
        <w:rPr>
          <w:rFonts w:ascii="Open Sans" w:hAnsi="Open Sans" w:cs="Open Sans"/>
        </w:rPr>
        <w:t>/Aero Centre</w:t>
      </w:r>
      <w:r w:rsidR="008D26F3" w:rsidRPr="00F74E5A">
        <w:rPr>
          <w:rFonts w:ascii="Open Sans" w:hAnsi="Open Sans" w:cs="Open Sans"/>
        </w:rPr>
        <w:t>;</w:t>
      </w:r>
    </w:p>
    <w:p w:rsidR="00072E8C" w:rsidRPr="00F74E5A" w:rsidRDefault="00072E8C" w:rsidP="00072E8C">
      <w:pPr>
        <w:pStyle w:val="ListBullet"/>
        <w:rPr>
          <w:rFonts w:ascii="Open Sans" w:hAnsi="Open Sans" w:cs="Open Sans"/>
        </w:rPr>
      </w:pPr>
      <w:r w:rsidRPr="00F74E5A">
        <w:rPr>
          <w:rFonts w:ascii="Open Sans" w:hAnsi="Open Sans" w:cs="Open Sans"/>
        </w:rPr>
        <w:t>Robin Hood Airport Business Park (Enterprise Zone)</w:t>
      </w:r>
      <w:r w:rsidR="008054BE" w:rsidRPr="00F74E5A">
        <w:rPr>
          <w:rFonts w:ascii="Open Sans" w:hAnsi="Open Sans" w:cs="Open Sans"/>
        </w:rPr>
        <w:t>;</w:t>
      </w:r>
    </w:p>
    <w:p w:rsidR="00E559F5" w:rsidRPr="00F74E5A" w:rsidRDefault="00E559F5" w:rsidP="00E559F5">
      <w:pPr>
        <w:pStyle w:val="ListBullet"/>
        <w:rPr>
          <w:rFonts w:ascii="Open Sans" w:hAnsi="Open Sans" w:cs="Open Sans"/>
        </w:rPr>
      </w:pPr>
      <w:r w:rsidRPr="00F74E5A">
        <w:rPr>
          <w:rFonts w:ascii="Open Sans" w:hAnsi="Open Sans" w:cs="Open Sans"/>
        </w:rPr>
        <w:t>Large employers</w:t>
      </w:r>
      <w:r w:rsidR="008054BE" w:rsidRPr="00F74E5A">
        <w:rPr>
          <w:rFonts w:ascii="Open Sans" w:hAnsi="Open Sans" w:cs="Open Sans"/>
        </w:rPr>
        <w:t>:</w:t>
      </w:r>
    </w:p>
    <w:p w:rsidR="00207025" w:rsidRPr="00F74E5A" w:rsidRDefault="00207025" w:rsidP="008054BE">
      <w:pPr>
        <w:pStyle w:val="ListBullet2"/>
        <w:rPr>
          <w:rFonts w:ascii="Open Sans" w:hAnsi="Open Sans" w:cs="Open Sans"/>
        </w:rPr>
      </w:pPr>
      <w:r w:rsidRPr="00F74E5A">
        <w:rPr>
          <w:rFonts w:ascii="Open Sans" w:hAnsi="Open Sans" w:cs="Open Sans"/>
        </w:rPr>
        <w:t>iPort;</w:t>
      </w:r>
    </w:p>
    <w:p w:rsidR="00207025" w:rsidRPr="00F74E5A" w:rsidRDefault="00207025" w:rsidP="008054BE">
      <w:pPr>
        <w:pStyle w:val="ListBullet2"/>
        <w:rPr>
          <w:rFonts w:ascii="Open Sans" w:hAnsi="Open Sans" w:cs="Open Sans"/>
        </w:rPr>
      </w:pPr>
      <w:r w:rsidRPr="00F74E5A">
        <w:rPr>
          <w:rFonts w:ascii="Open Sans" w:hAnsi="Open Sans" w:cs="Open Sans"/>
        </w:rPr>
        <w:t>Project Unity;</w:t>
      </w:r>
    </w:p>
    <w:p w:rsidR="00E559F5" w:rsidRPr="00F74E5A" w:rsidRDefault="00E559F5" w:rsidP="008054BE">
      <w:pPr>
        <w:pStyle w:val="ListBullet2"/>
        <w:rPr>
          <w:rFonts w:ascii="Open Sans" w:hAnsi="Open Sans" w:cs="Open Sans"/>
        </w:rPr>
      </w:pPr>
      <w:r w:rsidRPr="00F74E5A">
        <w:rPr>
          <w:rFonts w:ascii="Open Sans" w:hAnsi="Open Sans" w:cs="Open Sans"/>
        </w:rPr>
        <w:t>DFS Furniture Ltd</w:t>
      </w:r>
      <w:r w:rsidR="008D26F3" w:rsidRPr="00F74E5A">
        <w:rPr>
          <w:rFonts w:ascii="Open Sans" w:hAnsi="Open Sans" w:cs="Open Sans"/>
        </w:rPr>
        <w:t>;</w:t>
      </w:r>
    </w:p>
    <w:p w:rsidR="00E559F5" w:rsidRPr="00F74E5A" w:rsidRDefault="00E559F5" w:rsidP="008054BE">
      <w:pPr>
        <w:pStyle w:val="ListBullet2"/>
        <w:rPr>
          <w:rFonts w:ascii="Open Sans" w:hAnsi="Open Sans" w:cs="Open Sans"/>
        </w:rPr>
      </w:pPr>
      <w:r w:rsidRPr="00F74E5A">
        <w:rPr>
          <w:rFonts w:ascii="Open Sans" w:hAnsi="Open Sans" w:cs="Open Sans"/>
        </w:rPr>
        <w:t>Trackwork</w:t>
      </w:r>
      <w:r w:rsidR="008D26F3" w:rsidRPr="00F74E5A">
        <w:rPr>
          <w:rFonts w:ascii="Open Sans" w:hAnsi="Open Sans" w:cs="Open Sans"/>
        </w:rPr>
        <w:t>;</w:t>
      </w:r>
    </w:p>
    <w:p w:rsidR="00327341" w:rsidRPr="00F74E5A" w:rsidRDefault="00E559F5" w:rsidP="008054BE">
      <w:pPr>
        <w:pStyle w:val="ListBullet2"/>
        <w:rPr>
          <w:rFonts w:ascii="Open Sans" w:hAnsi="Open Sans" w:cs="Open Sans"/>
        </w:rPr>
      </w:pPr>
      <w:r w:rsidRPr="00F74E5A">
        <w:rPr>
          <w:rFonts w:ascii="Open Sans" w:hAnsi="Open Sans" w:cs="Open Sans"/>
        </w:rPr>
        <w:t>Polypipe International</w:t>
      </w:r>
      <w:r w:rsidR="008D26F3" w:rsidRPr="00F74E5A">
        <w:rPr>
          <w:rFonts w:ascii="Open Sans" w:hAnsi="Open Sans" w:cs="Open Sans"/>
        </w:rPr>
        <w:t>.</w:t>
      </w:r>
    </w:p>
    <w:p w:rsidR="0048525D" w:rsidRPr="00F74E5A" w:rsidRDefault="0048525D" w:rsidP="0048525D">
      <w:pPr>
        <w:pStyle w:val="TOC5"/>
        <w:numPr>
          <w:ilvl w:val="0"/>
          <w:numId w:val="0"/>
        </w:numPr>
        <w:ind w:left="720"/>
        <w:rPr>
          <w:rFonts w:ascii="Open Sans" w:hAnsi="Open Sans" w:cs="Open Sans"/>
        </w:rPr>
      </w:pPr>
    </w:p>
    <w:p w:rsidR="00072E8C" w:rsidRPr="00F74E5A" w:rsidRDefault="00072E8C" w:rsidP="00541027">
      <w:pPr>
        <w:pStyle w:val="BodyText"/>
        <w:rPr>
          <w:rFonts w:ascii="Open Sans" w:hAnsi="Open Sans" w:cs="Open Sans"/>
        </w:rPr>
      </w:pPr>
      <w:r w:rsidRPr="00F74E5A">
        <w:rPr>
          <w:rFonts w:ascii="Open Sans" w:hAnsi="Open Sans" w:cs="Open Sans"/>
        </w:rPr>
        <w:t xml:space="preserve">Additional institutions that may have a presence in Doncaster and beyond would include organisations </w:t>
      </w:r>
      <w:r w:rsidR="00DB04D3" w:rsidRPr="00F74E5A">
        <w:rPr>
          <w:rFonts w:ascii="Open Sans" w:hAnsi="Open Sans" w:cs="Open Sans"/>
        </w:rPr>
        <w:t xml:space="preserve">such as South Yorkshire Police and </w:t>
      </w:r>
      <w:r w:rsidRPr="00F74E5A">
        <w:rPr>
          <w:rFonts w:ascii="Open Sans" w:hAnsi="Open Sans" w:cs="Open Sans"/>
        </w:rPr>
        <w:t>public t</w:t>
      </w:r>
      <w:r w:rsidR="0048525D" w:rsidRPr="00F74E5A">
        <w:rPr>
          <w:rFonts w:ascii="Open Sans" w:hAnsi="Open Sans" w:cs="Open Sans"/>
        </w:rPr>
        <w:t xml:space="preserve">ransport </w:t>
      </w:r>
      <w:r w:rsidRPr="00F74E5A">
        <w:rPr>
          <w:rFonts w:ascii="Open Sans" w:hAnsi="Open Sans" w:cs="Open Sans"/>
        </w:rPr>
        <w:t xml:space="preserve">providers. </w:t>
      </w:r>
      <w:r w:rsidR="004B123F" w:rsidRPr="00F74E5A">
        <w:rPr>
          <w:rFonts w:ascii="Open Sans" w:hAnsi="Open Sans" w:cs="Open Sans"/>
        </w:rPr>
        <w:t xml:space="preserve">Further, the school estate across Doncaster comprises of 99 junior schools, 17 secondary schools and 5 special schools who will collectively be significant employers and purchasers of local goods and services.  </w:t>
      </w:r>
    </w:p>
    <w:p w:rsidR="00072E8C" w:rsidRPr="00F74E5A" w:rsidRDefault="008054BE" w:rsidP="00541027">
      <w:pPr>
        <w:ind w:left="720"/>
        <w:rPr>
          <w:rFonts w:ascii="Open Sans" w:hAnsi="Open Sans" w:cs="Open Sans"/>
        </w:rPr>
      </w:pPr>
      <w:r w:rsidRPr="00F74E5A">
        <w:rPr>
          <w:rFonts w:ascii="Open Sans" w:hAnsi="Open Sans" w:cs="Open Sans"/>
        </w:rPr>
        <w:t>At the outset of developing an anchor institution s</w:t>
      </w:r>
      <w:r w:rsidR="004B123F" w:rsidRPr="00F74E5A">
        <w:rPr>
          <w:rFonts w:ascii="Open Sans" w:hAnsi="Open Sans" w:cs="Open Sans"/>
        </w:rPr>
        <w:t>trategy</w:t>
      </w:r>
      <w:r w:rsidR="006A622A" w:rsidRPr="00F74E5A">
        <w:rPr>
          <w:rFonts w:ascii="Open Sans" w:hAnsi="Open Sans" w:cs="Open Sans"/>
        </w:rPr>
        <w:t>,</w:t>
      </w:r>
      <w:r w:rsidR="004B123F" w:rsidRPr="00F74E5A">
        <w:rPr>
          <w:rFonts w:ascii="Open Sans" w:hAnsi="Open Sans" w:cs="Open Sans"/>
        </w:rPr>
        <w:t xml:space="preserve"> it will be important to</w:t>
      </w:r>
      <w:r w:rsidR="00541027" w:rsidRPr="00F74E5A">
        <w:rPr>
          <w:rFonts w:ascii="Open Sans" w:hAnsi="Open Sans" w:cs="Open Sans"/>
        </w:rPr>
        <w:t xml:space="preserve"> map</w:t>
      </w:r>
      <w:r w:rsidR="00DB04D3" w:rsidRPr="00F74E5A">
        <w:rPr>
          <w:rFonts w:ascii="Open Sans" w:hAnsi="Open Sans" w:cs="Open Sans"/>
        </w:rPr>
        <w:t xml:space="preserve"> these</w:t>
      </w:r>
      <w:r w:rsidR="00541027" w:rsidRPr="00F74E5A">
        <w:rPr>
          <w:rFonts w:ascii="Open Sans" w:hAnsi="Open Sans" w:cs="Open Sans"/>
        </w:rPr>
        <w:t xml:space="preserve"> anchor institutions against a set of criteria</w:t>
      </w:r>
      <w:r w:rsidR="006A622A" w:rsidRPr="00F74E5A">
        <w:rPr>
          <w:rFonts w:ascii="Open Sans" w:hAnsi="Open Sans" w:cs="Open Sans"/>
        </w:rPr>
        <w:t>,</w:t>
      </w:r>
      <w:r w:rsidR="00541027" w:rsidRPr="00F74E5A">
        <w:rPr>
          <w:rFonts w:ascii="Open Sans" w:hAnsi="Open Sans" w:cs="Open Sans"/>
        </w:rPr>
        <w:t xml:space="preserve"> and from this</w:t>
      </w:r>
      <w:r w:rsidR="006A622A" w:rsidRPr="00F74E5A">
        <w:rPr>
          <w:rFonts w:ascii="Open Sans" w:hAnsi="Open Sans" w:cs="Open Sans"/>
        </w:rPr>
        <w:t>,</w:t>
      </w:r>
      <w:r w:rsidR="00541027" w:rsidRPr="00F74E5A">
        <w:rPr>
          <w:rFonts w:ascii="Open Sans" w:hAnsi="Open Sans" w:cs="Open Sans"/>
        </w:rPr>
        <w:t xml:space="preserve"> select</w:t>
      </w:r>
      <w:r w:rsidR="006A622A" w:rsidRPr="00F74E5A">
        <w:rPr>
          <w:rFonts w:ascii="Open Sans" w:hAnsi="Open Sans" w:cs="Open Sans"/>
        </w:rPr>
        <w:t xml:space="preserve"> </w:t>
      </w:r>
      <w:r w:rsidR="00541027" w:rsidRPr="00F74E5A">
        <w:rPr>
          <w:rFonts w:ascii="Open Sans" w:hAnsi="Open Sans" w:cs="Open Sans"/>
        </w:rPr>
        <w:t>a core group to target. Criteria to map may include:</w:t>
      </w:r>
    </w:p>
    <w:p w:rsidR="00072E8C" w:rsidRPr="00F74E5A" w:rsidRDefault="00072E8C" w:rsidP="0048525D">
      <w:pPr>
        <w:ind w:firstLine="720"/>
        <w:rPr>
          <w:rFonts w:ascii="Open Sans" w:hAnsi="Open Sans" w:cs="Open Sans"/>
        </w:rPr>
      </w:pPr>
    </w:p>
    <w:p w:rsidR="00072E8C" w:rsidRPr="00F74E5A" w:rsidRDefault="00072E8C" w:rsidP="00072E8C">
      <w:pPr>
        <w:pStyle w:val="ListBullet"/>
        <w:rPr>
          <w:rFonts w:ascii="Open Sans" w:hAnsi="Open Sans" w:cs="Open Sans"/>
        </w:rPr>
      </w:pPr>
      <w:r w:rsidRPr="00F74E5A">
        <w:rPr>
          <w:rFonts w:ascii="Open Sans" w:hAnsi="Open Sans" w:cs="Open Sans"/>
        </w:rPr>
        <w:t>Scale - Sufficient size</w:t>
      </w:r>
      <w:r w:rsidR="006A622A" w:rsidRPr="00F74E5A">
        <w:rPr>
          <w:rFonts w:ascii="Open Sans" w:hAnsi="Open Sans" w:cs="Open Sans"/>
        </w:rPr>
        <w:t xml:space="preserve"> e.g. by spend, by employment, by assets</w:t>
      </w:r>
      <w:r w:rsidR="00BE6166" w:rsidRPr="00F74E5A">
        <w:rPr>
          <w:rFonts w:ascii="Open Sans" w:hAnsi="Open Sans" w:cs="Open Sans"/>
        </w:rPr>
        <w:t>;</w:t>
      </w:r>
    </w:p>
    <w:p w:rsidR="00072E8C" w:rsidRPr="00F74E5A" w:rsidRDefault="00072E8C" w:rsidP="00072E8C">
      <w:pPr>
        <w:pStyle w:val="ListBullet"/>
        <w:rPr>
          <w:rFonts w:ascii="Open Sans" w:hAnsi="Open Sans" w:cs="Open Sans"/>
        </w:rPr>
      </w:pPr>
      <w:r w:rsidRPr="00F74E5A">
        <w:rPr>
          <w:rFonts w:ascii="Open Sans" w:hAnsi="Open Sans" w:cs="Open Sans"/>
        </w:rPr>
        <w:t>Sector - Even sectoral distribution</w:t>
      </w:r>
      <w:r w:rsidR="00BE6166" w:rsidRPr="00F74E5A">
        <w:rPr>
          <w:rFonts w:ascii="Open Sans" w:hAnsi="Open Sans" w:cs="Open Sans"/>
        </w:rPr>
        <w:t>, selecting institutions across domains;</w:t>
      </w:r>
    </w:p>
    <w:p w:rsidR="00072E8C" w:rsidRPr="00F74E5A" w:rsidRDefault="00072E8C" w:rsidP="00072E8C">
      <w:pPr>
        <w:pStyle w:val="ListBullet"/>
        <w:rPr>
          <w:rFonts w:ascii="Open Sans" w:hAnsi="Open Sans" w:cs="Open Sans"/>
        </w:rPr>
      </w:pPr>
      <w:r w:rsidRPr="00F74E5A">
        <w:rPr>
          <w:rFonts w:ascii="Open Sans" w:hAnsi="Open Sans" w:cs="Open Sans"/>
        </w:rPr>
        <w:t>Ethos</w:t>
      </w:r>
      <w:r w:rsidR="00BE6166" w:rsidRPr="00F74E5A">
        <w:rPr>
          <w:rFonts w:ascii="Open Sans" w:hAnsi="Open Sans" w:cs="Open Sans"/>
        </w:rPr>
        <w:t xml:space="preserve"> - Aligned with shared vision</w:t>
      </w:r>
      <w:r w:rsidR="00B82FE6" w:rsidRPr="00F74E5A">
        <w:rPr>
          <w:rFonts w:ascii="Open Sans" w:hAnsi="Open Sans" w:cs="Open Sans"/>
        </w:rPr>
        <w:t>;</w:t>
      </w:r>
    </w:p>
    <w:p w:rsidR="00072E8C" w:rsidRPr="00F74E5A" w:rsidRDefault="00072E8C" w:rsidP="00072E8C">
      <w:pPr>
        <w:pStyle w:val="ListBullet"/>
        <w:rPr>
          <w:rFonts w:ascii="Open Sans" w:hAnsi="Open Sans" w:cs="Open Sans"/>
        </w:rPr>
      </w:pPr>
      <w:r w:rsidRPr="00F74E5A">
        <w:rPr>
          <w:rFonts w:ascii="Open Sans" w:hAnsi="Open Sans" w:cs="Open Sans"/>
        </w:rPr>
        <w:t xml:space="preserve">Existing data </w:t>
      </w:r>
      <w:r w:rsidR="00BE6166" w:rsidRPr="00F74E5A">
        <w:rPr>
          <w:rFonts w:ascii="Open Sans" w:hAnsi="Open Sans" w:cs="Open Sans"/>
        </w:rPr>
        <w:t>–</w:t>
      </w:r>
      <w:r w:rsidRPr="00F74E5A">
        <w:rPr>
          <w:rFonts w:ascii="Open Sans" w:hAnsi="Open Sans" w:cs="Open Sans"/>
        </w:rPr>
        <w:t xml:space="preserve"> Availability</w:t>
      </w:r>
      <w:r w:rsidR="00BE6166" w:rsidRPr="00F74E5A">
        <w:rPr>
          <w:rFonts w:ascii="Open Sans" w:hAnsi="Open Sans" w:cs="Open Sans"/>
        </w:rPr>
        <w:t xml:space="preserve"> and ability to share</w:t>
      </w:r>
      <w:r w:rsidR="00B82FE6" w:rsidRPr="00F74E5A">
        <w:rPr>
          <w:rFonts w:ascii="Open Sans" w:hAnsi="Open Sans" w:cs="Open Sans"/>
        </w:rPr>
        <w:t>;</w:t>
      </w:r>
      <w:r w:rsidR="00BE6166" w:rsidRPr="00F74E5A">
        <w:rPr>
          <w:rFonts w:ascii="Open Sans" w:hAnsi="Open Sans" w:cs="Open Sans"/>
        </w:rPr>
        <w:t xml:space="preserve"> </w:t>
      </w:r>
    </w:p>
    <w:p w:rsidR="00072E8C" w:rsidRPr="00F74E5A" w:rsidRDefault="00072E8C" w:rsidP="00072E8C">
      <w:pPr>
        <w:pStyle w:val="ListBullet"/>
        <w:rPr>
          <w:rFonts w:ascii="Open Sans" w:hAnsi="Open Sans" w:cs="Open Sans"/>
        </w:rPr>
      </w:pPr>
      <w:r w:rsidRPr="00F74E5A">
        <w:rPr>
          <w:rFonts w:ascii="Open Sans" w:hAnsi="Open Sans" w:cs="Open Sans"/>
        </w:rPr>
        <w:t>Engagement - Project buy-in and commitment</w:t>
      </w:r>
      <w:r w:rsidR="00B82FE6" w:rsidRPr="00F74E5A">
        <w:rPr>
          <w:rFonts w:ascii="Open Sans" w:hAnsi="Open Sans" w:cs="Open Sans"/>
        </w:rPr>
        <w:t>;</w:t>
      </w:r>
    </w:p>
    <w:p w:rsidR="00072E8C" w:rsidRPr="00F74E5A" w:rsidRDefault="00B82FE6" w:rsidP="00072E8C">
      <w:pPr>
        <w:pStyle w:val="ListBullet"/>
        <w:rPr>
          <w:rFonts w:ascii="Open Sans" w:hAnsi="Open Sans" w:cs="Open Sans"/>
        </w:rPr>
      </w:pPr>
      <w:r w:rsidRPr="00F74E5A">
        <w:rPr>
          <w:rFonts w:ascii="Open Sans" w:hAnsi="Open Sans" w:cs="Open Sans"/>
        </w:rPr>
        <w:t>Existing r</w:t>
      </w:r>
      <w:r w:rsidR="00072E8C" w:rsidRPr="00F74E5A">
        <w:rPr>
          <w:rFonts w:ascii="Open Sans" w:hAnsi="Open Sans" w:cs="Open Sans"/>
        </w:rPr>
        <w:t>elationships - A warm introduction</w:t>
      </w:r>
      <w:r w:rsidRPr="00F74E5A">
        <w:rPr>
          <w:rFonts w:ascii="Open Sans" w:hAnsi="Open Sans" w:cs="Open Sans"/>
        </w:rPr>
        <w:t>.</w:t>
      </w:r>
    </w:p>
    <w:p w:rsidR="00AA0E8F" w:rsidRPr="00F74E5A" w:rsidRDefault="00AA0E8F">
      <w:pPr>
        <w:jc w:val="left"/>
        <w:rPr>
          <w:rFonts w:ascii="Open Sans" w:hAnsi="Open Sans" w:cs="Open Sans"/>
        </w:rPr>
      </w:pPr>
    </w:p>
    <w:p w:rsidR="00DB04D3" w:rsidRPr="00F74E5A" w:rsidRDefault="00DB04D3" w:rsidP="006A622A">
      <w:pPr>
        <w:pStyle w:val="BodyText"/>
        <w:rPr>
          <w:rFonts w:ascii="Open Sans" w:hAnsi="Open Sans" w:cs="Open Sans"/>
        </w:rPr>
      </w:pPr>
      <w:r w:rsidRPr="00F74E5A">
        <w:rPr>
          <w:rFonts w:ascii="Open Sans" w:hAnsi="Open Sans" w:cs="Open Sans"/>
        </w:rPr>
        <w:t>We are</w:t>
      </w:r>
      <w:r w:rsidR="006A622A" w:rsidRPr="00F74E5A">
        <w:rPr>
          <w:rFonts w:ascii="Open Sans" w:hAnsi="Open Sans" w:cs="Open Sans"/>
        </w:rPr>
        <w:t xml:space="preserve"> currently</w:t>
      </w:r>
      <w:r w:rsidRPr="00F74E5A">
        <w:rPr>
          <w:rFonts w:ascii="Open Sans" w:hAnsi="Open Sans" w:cs="Open Sans"/>
        </w:rPr>
        <w:t xml:space="preserve"> working with a range of ins</w:t>
      </w:r>
      <w:r w:rsidR="006A622A" w:rsidRPr="00F74E5A">
        <w:rPr>
          <w:rFonts w:ascii="Open Sans" w:hAnsi="Open Sans" w:cs="Open Sans"/>
        </w:rPr>
        <w:t>titutions across</w:t>
      </w:r>
      <w:r w:rsidRPr="00F74E5A">
        <w:rPr>
          <w:rFonts w:ascii="Open Sans" w:hAnsi="Open Sans" w:cs="Open Sans"/>
        </w:rPr>
        <w:t xml:space="preserve"> Preston, Birmingham and Oldham</w:t>
      </w:r>
      <w:r w:rsidR="006A622A" w:rsidRPr="00F74E5A">
        <w:rPr>
          <w:rFonts w:ascii="Open Sans" w:hAnsi="Open Sans" w:cs="Open Sans"/>
        </w:rPr>
        <w:t>, with local authorities, educational institutions, housing associations, health institutions, the police and a private institution in the form of Birmingham Airport, coming together to explore how they can collaboratively build greater community wealth by working together with a focus on local people and places.</w:t>
      </w:r>
      <w:r w:rsidR="008054BE" w:rsidRPr="00F74E5A">
        <w:rPr>
          <w:rFonts w:ascii="Open Sans" w:hAnsi="Open Sans" w:cs="Open Sans"/>
        </w:rPr>
        <w:t xml:space="preserve"> The table overleaf details the organisations we are collaborating with through our work.</w:t>
      </w:r>
    </w:p>
    <w:p w:rsidR="00BE6166" w:rsidRDefault="00BE6166" w:rsidP="006A622A">
      <w:pPr>
        <w:pStyle w:val="BodyText"/>
        <w:rPr>
          <w:rFonts w:ascii="Open Sans" w:hAnsi="Open Sans" w:cs="Open Sans"/>
        </w:rPr>
      </w:pPr>
    </w:p>
    <w:p w:rsidR="00BE6166" w:rsidRDefault="00BE6166" w:rsidP="006A622A">
      <w:pPr>
        <w:pStyle w:val="BodyText"/>
        <w:rPr>
          <w:rFonts w:ascii="Open Sans" w:hAnsi="Open Sans" w:cs="Open Sans"/>
        </w:rPr>
      </w:pPr>
    </w:p>
    <w:p w:rsidR="00BE6166" w:rsidRDefault="00BE6166" w:rsidP="006A622A">
      <w:pPr>
        <w:pStyle w:val="BodyText"/>
        <w:rPr>
          <w:rFonts w:ascii="Open Sans" w:hAnsi="Open Sans" w:cs="Open Sans"/>
        </w:rPr>
      </w:pPr>
    </w:p>
    <w:p w:rsidR="008054BE" w:rsidRDefault="008054BE" w:rsidP="006A622A">
      <w:pPr>
        <w:pStyle w:val="BodyText"/>
        <w:rPr>
          <w:rFonts w:ascii="Open Sans" w:hAnsi="Open Sans" w:cs="Open Sans"/>
        </w:rPr>
      </w:pPr>
    </w:p>
    <w:p w:rsidR="008054BE" w:rsidRDefault="008054BE" w:rsidP="006A622A">
      <w:pPr>
        <w:pStyle w:val="BodyText"/>
        <w:rPr>
          <w:rFonts w:ascii="Open Sans" w:hAnsi="Open Sans" w:cs="Open Sans"/>
        </w:rPr>
      </w:pPr>
    </w:p>
    <w:p w:rsidR="008054BE" w:rsidRDefault="008054BE" w:rsidP="006A622A">
      <w:pPr>
        <w:pStyle w:val="BodyText"/>
        <w:rPr>
          <w:rFonts w:ascii="Open Sans" w:hAnsi="Open Sans" w:cs="Open Sans"/>
        </w:rPr>
      </w:pPr>
    </w:p>
    <w:p w:rsidR="005E4FDD" w:rsidRPr="005E4FDD" w:rsidRDefault="005E4FDD" w:rsidP="00047C78">
      <w:pPr>
        <w:pStyle w:val="BodyText"/>
        <w:spacing w:after="0"/>
        <w:rPr>
          <w:rFonts w:ascii="Open Sans" w:hAnsi="Open Sans" w:cs="Open Sans"/>
          <w:b/>
          <w:i/>
        </w:rPr>
      </w:pPr>
      <w:r w:rsidRPr="005E4FDD">
        <w:rPr>
          <w:rFonts w:ascii="Open Sans" w:hAnsi="Open Sans" w:cs="Open Sans"/>
          <w:b/>
          <w:i/>
        </w:rPr>
        <w:t>Key anchor institutions engaged to date</w:t>
      </w:r>
    </w:p>
    <w:p w:rsidR="0048525D" w:rsidRPr="0048525D" w:rsidRDefault="0048525D" w:rsidP="0048525D">
      <w:pPr>
        <w:ind w:firstLine="720"/>
      </w:pPr>
      <w:r>
        <w:t xml:space="preserve"> </w:t>
      </w:r>
    </w:p>
    <w:tbl>
      <w:tblPr>
        <w:tblStyle w:val="TableGrid"/>
        <w:tblW w:w="8934" w:type="dxa"/>
        <w:tblInd w:w="704" w:type="dxa"/>
        <w:tblLook w:val="04A0" w:firstRow="1" w:lastRow="0" w:firstColumn="1" w:lastColumn="0" w:noHBand="0" w:noVBand="1"/>
      </w:tblPr>
      <w:tblGrid>
        <w:gridCol w:w="2978"/>
        <w:gridCol w:w="2978"/>
        <w:gridCol w:w="2978"/>
      </w:tblGrid>
      <w:tr w:rsidR="00541027" w:rsidRPr="00541027" w:rsidTr="008054BE">
        <w:trPr>
          <w:trHeight w:val="429"/>
        </w:trPr>
        <w:tc>
          <w:tcPr>
            <w:tcW w:w="2978" w:type="dxa"/>
            <w:shd w:val="clear" w:color="auto" w:fill="339966"/>
            <w:vAlign w:val="center"/>
          </w:tcPr>
          <w:p w:rsidR="00541027" w:rsidRPr="00541027" w:rsidRDefault="00541027" w:rsidP="008054BE">
            <w:pPr>
              <w:pStyle w:val="ListBullet"/>
              <w:numPr>
                <w:ilvl w:val="0"/>
                <w:numId w:val="0"/>
              </w:numPr>
              <w:spacing w:line="240" w:lineRule="auto"/>
              <w:jc w:val="center"/>
              <w:rPr>
                <w:rFonts w:ascii="Open Sans" w:hAnsi="Open Sans" w:cs="Open Sans"/>
                <w:b/>
                <w:color w:val="FFFFFF" w:themeColor="background1"/>
              </w:rPr>
            </w:pPr>
            <w:r w:rsidRPr="00541027">
              <w:rPr>
                <w:rFonts w:ascii="Open Sans" w:hAnsi="Open Sans" w:cs="Open Sans"/>
                <w:b/>
                <w:color w:val="FFFFFF" w:themeColor="background1"/>
              </w:rPr>
              <w:t>Preston</w:t>
            </w:r>
          </w:p>
        </w:tc>
        <w:tc>
          <w:tcPr>
            <w:tcW w:w="2978" w:type="dxa"/>
            <w:shd w:val="clear" w:color="auto" w:fill="339966"/>
            <w:vAlign w:val="center"/>
          </w:tcPr>
          <w:p w:rsidR="00541027" w:rsidRPr="00541027" w:rsidRDefault="00541027" w:rsidP="008054BE">
            <w:pPr>
              <w:pStyle w:val="ListBullet"/>
              <w:numPr>
                <w:ilvl w:val="0"/>
                <w:numId w:val="0"/>
              </w:numPr>
              <w:spacing w:line="240" w:lineRule="auto"/>
              <w:jc w:val="center"/>
              <w:rPr>
                <w:rFonts w:ascii="Open Sans" w:hAnsi="Open Sans" w:cs="Open Sans"/>
                <w:b/>
                <w:color w:val="FFFFFF" w:themeColor="background1"/>
              </w:rPr>
            </w:pPr>
            <w:r w:rsidRPr="00541027">
              <w:rPr>
                <w:rFonts w:ascii="Open Sans" w:hAnsi="Open Sans" w:cs="Open Sans"/>
                <w:b/>
                <w:color w:val="FFFFFF" w:themeColor="background1"/>
              </w:rPr>
              <w:t>Birmingham</w:t>
            </w:r>
          </w:p>
        </w:tc>
        <w:tc>
          <w:tcPr>
            <w:tcW w:w="2978" w:type="dxa"/>
            <w:shd w:val="clear" w:color="auto" w:fill="339966"/>
            <w:vAlign w:val="center"/>
          </w:tcPr>
          <w:p w:rsidR="00541027" w:rsidRPr="00541027" w:rsidRDefault="00541027" w:rsidP="008054BE">
            <w:pPr>
              <w:pStyle w:val="ListBullet"/>
              <w:numPr>
                <w:ilvl w:val="0"/>
                <w:numId w:val="0"/>
              </w:numPr>
              <w:spacing w:line="240" w:lineRule="auto"/>
              <w:jc w:val="center"/>
              <w:rPr>
                <w:rFonts w:ascii="Open Sans" w:hAnsi="Open Sans" w:cs="Open Sans"/>
                <w:b/>
                <w:color w:val="FFFFFF" w:themeColor="background1"/>
              </w:rPr>
            </w:pPr>
            <w:r w:rsidRPr="00541027">
              <w:rPr>
                <w:rFonts w:ascii="Open Sans" w:hAnsi="Open Sans" w:cs="Open Sans"/>
                <w:b/>
                <w:color w:val="FFFFFF" w:themeColor="background1"/>
              </w:rPr>
              <w:t>Oldham</w:t>
            </w:r>
          </w:p>
        </w:tc>
      </w:tr>
      <w:tr w:rsidR="00541027" w:rsidRPr="00541027" w:rsidTr="008054BE">
        <w:trPr>
          <w:trHeight w:val="429"/>
        </w:trPr>
        <w:tc>
          <w:tcPr>
            <w:tcW w:w="2978" w:type="dxa"/>
            <w:vAlign w:val="center"/>
          </w:tcPr>
          <w:p w:rsidR="00541027" w:rsidRPr="00541027" w:rsidRDefault="00660014" w:rsidP="008054BE">
            <w:pPr>
              <w:pStyle w:val="ListBullet"/>
              <w:numPr>
                <w:ilvl w:val="0"/>
                <w:numId w:val="0"/>
              </w:numPr>
              <w:spacing w:line="240" w:lineRule="auto"/>
              <w:jc w:val="center"/>
              <w:rPr>
                <w:rFonts w:ascii="Open Sans" w:hAnsi="Open Sans" w:cs="Open Sans"/>
              </w:rPr>
            </w:pPr>
            <w:r>
              <w:rPr>
                <w:rFonts w:ascii="Open Sans" w:hAnsi="Open Sans" w:cs="Open Sans"/>
              </w:rPr>
              <w:t>Preston City Council</w:t>
            </w:r>
          </w:p>
        </w:tc>
        <w:tc>
          <w:tcPr>
            <w:tcW w:w="2978" w:type="dxa"/>
            <w:vAlign w:val="center"/>
          </w:tcPr>
          <w:p w:rsidR="00541027" w:rsidRPr="00541027" w:rsidRDefault="00660014" w:rsidP="008054BE">
            <w:pPr>
              <w:pStyle w:val="ListBullet"/>
              <w:numPr>
                <w:ilvl w:val="0"/>
                <w:numId w:val="0"/>
              </w:numPr>
              <w:spacing w:line="240" w:lineRule="auto"/>
              <w:jc w:val="center"/>
              <w:rPr>
                <w:rFonts w:ascii="Open Sans" w:hAnsi="Open Sans" w:cs="Open Sans"/>
              </w:rPr>
            </w:pPr>
            <w:r>
              <w:rPr>
                <w:rFonts w:ascii="Open Sans" w:hAnsi="Open Sans" w:cs="Open Sans"/>
              </w:rPr>
              <w:t>Birmingham City Council</w:t>
            </w:r>
          </w:p>
        </w:tc>
        <w:tc>
          <w:tcPr>
            <w:tcW w:w="2978" w:type="dxa"/>
            <w:vAlign w:val="center"/>
          </w:tcPr>
          <w:p w:rsidR="00541027" w:rsidRPr="00541027" w:rsidRDefault="00AA0E8F" w:rsidP="008054BE">
            <w:pPr>
              <w:pStyle w:val="ListBullet"/>
              <w:numPr>
                <w:ilvl w:val="0"/>
                <w:numId w:val="0"/>
              </w:numPr>
              <w:spacing w:line="240" w:lineRule="auto"/>
              <w:jc w:val="center"/>
              <w:rPr>
                <w:rFonts w:ascii="Open Sans" w:hAnsi="Open Sans" w:cs="Open Sans"/>
              </w:rPr>
            </w:pPr>
            <w:r>
              <w:rPr>
                <w:rFonts w:ascii="Open Sans" w:hAnsi="Open Sans" w:cs="Open Sans"/>
              </w:rPr>
              <w:t>Oldham Council</w:t>
            </w:r>
          </w:p>
        </w:tc>
      </w:tr>
      <w:tr w:rsidR="00541027" w:rsidRPr="00541027" w:rsidTr="008054BE">
        <w:trPr>
          <w:trHeight w:val="405"/>
        </w:trPr>
        <w:tc>
          <w:tcPr>
            <w:tcW w:w="2978" w:type="dxa"/>
            <w:vAlign w:val="center"/>
          </w:tcPr>
          <w:p w:rsidR="00541027" w:rsidRPr="00541027" w:rsidRDefault="00660014" w:rsidP="008054BE">
            <w:pPr>
              <w:pStyle w:val="ListBullet"/>
              <w:numPr>
                <w:ilvl w:val="0"/>
                <w:numId w:val="0"/>
              </w:numPr>
              <w:spacing w:line="240" w:lineRule="auto"/>
              <w:jc w:val="center"/>
              <w:rPr>
                <w:rFonts w:ascii="Open Sans" w:hAnsi="Open Sans" w:cs="Open Sans"/>
              </w:rPr>
            </w:pPr>
            <w:r>
              <w:rPr>
                <w:rFonts w:ascii="Open Sans" w:hAnsi="Open Sans" w:cs="Open Sans"/>
              </w:rPr>
              <w:t>Lancashire County Council</w:t>
            </w:r>
          </w:p>
        </w:tc>
        <w:tc>
          <w:tcPr>
            <w:tcW w:w="2978" w:type="dxa"/>
            <w:vAlign w:val="center"/>
          </w:tcPr>
          <w:p w:rsidR="00541027" w:rsidRPr="00541027" w:rsidRDefault="00660014" w:rsidP="008054BE">
            <w:pPr>
              <w:pStyle w:val="ListBullet"/>
              <w:numPr>
                <w:ilvl w:val="0"/>
                <w:numId w:val="0"/>
              </w:numPr>
              <w:spacing w:line="240" w:lineRule="auto"/>
              <w:jc w:val="center"/>
              <w:rPr>
                <w:rFonts w:ascii="Open Sans" w:hAnsi="Open Sans" w:cs="Open Sans"/>
              </w:rPr>
            </w:pPr>
            <w:r>
              <w:rPr>
                <w:rFonts w:ascii="Open Sans" w:hAnsi="Open Sans" w:cs="Open Sans"/>
              </w:rPr>
              <w:t>Birmingham Airport</w:t>
            </w:r>
          </w:p>
        </w:tc>
        <w:tc>
          <w:tcPr>
            <w:tcW w:w="2978" w:type="dxa"/>
            <w:vAlign w:val="center"/>
          </w:tcPr>
          <w:p w:rsidR="00541027" w:rsidRPr="00541027" w:rsidRDefault="00AA0E8F" w:rsidP="008054BE">
            <w:pPr>
              <w:pStyle w:val="ListBullet"/>
              <w:numPr>
                <w:ilvl w:val="0"/>
                <w:numId w:val="0"/>
              </w:numPr>
              <w:spacing w:line="240" w:lineRule="auto"/>
              <w:jc w:val="center"/>
              <w:rPr>
                <w:rFonts w:ascii="Open Sans" w:hAnsi="Open Sans" w:cs="Open Sans"/>
              </w:rPr>
            </w:pPr>
            <w:r>
              <w:rPr>
                <w:rFonts w:ascii="Open Sans" w:hAnsi="Open Sans" w:cs="Open Sans"/>
              </w:rPr>
              <w:t>Royal Oldham Hospital</w:t>
            </w:r>
          </w:p>
        </w:tc>
      </w:tr>
      <w:tr w:rsidR="00541027" w:rsidRPr="00541027" w:rsidTr="008054BE">
        <w:trPr>
          <w:trHeight w:val="429"/>
        </w:trPr>
        <w:tc>
          <w:tcPr>
            <w:tcW w:w="2978" w:type="dxa"/>
            <w:vAlign w:val="center"/>
          </w:tcPr>
          <w:p w:rsidR="00541027" w:rsidRPr="00541027" w:rsidRDefault="00660014" w:rsidP="008054BE">
            <w:pPr>
              <w:pStyle w:val="ListBullet"/>
              <w:numPr>
                <w:ilvl w:val="0"/>
                <w:numId w:val="0"/>
              </w:numPr>
              <w:spacing w:line="240" w:lineRule="auto"/>
              <w:jc w:val="center"/>
              <w:rPr>
                <w:rFonts w:ascii="Open Sans" w:hAnsi="Open Sans" w:cs="Open Sans"/>
              </w:rPr>
            </w:pPr>
            <w:r>
              <w:rPr>
                <w:rFonts w:ascii="Open Sans" w:hAnsi="Open Sans" w:cs="Open Sans"/>
              </w:rPr>
              <w:t>Preston College</w:t>
            </w:r>
          </w:p>
        </w:tc>
        <w:tc>
          <w:tcPr>
            <w:tcW w:w="2978" w:type="dxa"/>
            <w:vAlign w:val="center"/>
          </w:tcPr>
          <w:p w:rsidR="00541027" w:rsidRPr="00541027" w:rsidRDefault="00660014" w:rsidP="008054BE">
            <w:pPr>
              <w:pStyle w:val="ListBullet"/>
              <w:numPr>
                <w:ilvl w:val="0"/>
                <w:numId w:val="0"/>
              </w:numPr>
              <w:spacing w:line="240" w:lineRule="auto"/>
              <w:jc w:val="center"/>
              <w:rPr>
                <w:rFonts w:ascii="Open Sans" w:hAnsi="Open Sans" w:cs="Open Sans"/>
              </w:rPr>
            </w:pPr>
            <w:r>
              <w:rPr>
                <w:rFonts w:ascii="Open Sans" w:hAnsi="Open Sans" w:cs="Open Sans"/>
              </w:rPr>
              <w:t>Pioneer Group (HA)</w:t>
            </w:r>
          </w:p>
        </w:tc>
        <w:tc>
          <w:tcPr>
            <w:tcW w:w="2978" w:type="dxa"/>
            <w:vAlign w:val="center"/>
          </w:tcPr>
          <w:p w:rsidR="00541027" w:rsidRPr="00541027" w:rsidRDefault="00AA0E8F" w:rsidP="008054BE">
            <w:pPr>
              <w:pStyle w:val="ListBullet"/>
              <w:numPr>
                <w:ilvl w:val="0"/>
                <w:numId w:val="0"/>
              </w:numPr>
              <w:spacing w:line="240" w:lineRule="auto"/>
              <w:jc w:val="center"/>
              <w:rPr>
                <w:rFonts w:ascii="Open Sans" w:hAnsi="Open Sans" w:cs="Open Sans"/>
              </w:rPr>
            </w:pPr>
            <w:r>
              <w:rPr>
                <w:rFonts w:ascii="Open Sans" w:hAnsi="Open Sans" w:cs="Open Sans"/>
              </w:rPr>
              <w:t>Oldham College</w:t>
            </w:r>
          </w:p>
        </w:tc>
      </w:tr>
      <w:tr w:rsidR="00541027" w:rsidRPr="00541027" w:rsidTr="008054BE">
        <w:trPr>
          <w:trHeight w:val="429"/>
        </w:trPr>
        <w:tc>
          <w:tcPr>
            <w:tcW w:w="2978" w:type="dxa"/>
            <w:vAlign w:val="center"/>
          </w:tcPr>
          <w:p w:rsidR="00541027" w:rsidRPr="00541027" w:rsidRDefault="00660014" w:rsidP="008054BE">
            <w:pPr>
              <w:pStyle w:val="ListBullet"/>
              <w:numPr>
                <w:ilvl w:val="0"/>
                <w:numId w:val="0"/>
              </w:numPr>
              <w:spacing w:line="240" w:lineRule="auto"/>
              <w:jc w:val="center"/>
              <w:rPr>
                <w:rFonts w:ascii="Open Sans" w:hAnsi="Open Sans" w:cs="Open Sans"/>
              </w:rPr>
            </w:pPr>
            <w:r>
              <w:rPr>
                <w:rFonts w:ascii="Open Sans" w:hAnsi="Open Sans" w:cs="Open Sans"/>
              </w:rPr>
              <w:t>Cardinal Newman College</w:t>
            </w:r>
          </w:p>
        </w:tc>
        <w:tc>
          <w:tcPr>
            <w:tcW w:w="2978" w:type="dxa"/>
            <w:vAlign w:val="center"/>
          </w:tcPr>
          <w:p w:rsidR="00541027" w:rsidRPr="00541027" w:rsidRDefault="00660014" w:rsidP="008054BE">
            <w:pPr>
              <w:pStyle w:val="ListBullet"/>
              <w:numPr>
                <w:ilvl w:val="0"/>
                <w:numId w:val="0"/>
              </w:numPr>
              <w:spacing w:line="240" w:lineRule="auto"/>
              <w:jc w:val="center"/>
              <w:rPr>
                <w:rFonts w:ascii="Open Sans" w:hAnsi="Open Sans" w:cs="Open Sans"/>
              </w:rPr>
            </w:pPr>
            <w:r>
              <w:rPr>
                <w:rFonts w:ascii="Open Sans" w:hAnsi="Open Sans" w:cs="Open Sans"/>
              </w:rPr>
              <w:t>West Midlands Police</w:t>
            </w:r>
          </w:p>
        </w:tc>
        <w:tc>
          <w:tcPr>
            <w:tcW w:w="2978" w:type="dxa"/>
            <w:vAlign w:val="center"/>
          </w:tcPr>
          <w:p w:rsidR="00541027" w:rsidRPr="00541027" w:rsidRDefault="00AA0E8F" w:rsidP="008054BE">
            <w:pPr>
              <w:pStyle w:val="ListBullet"/>
              <w:numPr>
                <w:ilvl w:val="0"/>
                <w:numId w:val="0"/>
              </w:numPr>
              <w:spacing w:line="240" w:lineRule="auto"/>
              <w:jc w:val="center"/>
              <w:rPr>
                <w:rFonts w:ascii="Open Sans" w:hAnsi="Open Sans" w:cs="Open Sans"/>
              </w:rPr>
            </w:pPr>
            <w:r>
              <w:rPr>
                <w:rFonts w:ascii="Open Sans" w:hAnsi="Open Sans" w:cs="Open Sans"/>
              </w:rPr>
              <w:t>Oldham Community Leisure</w:t>
            </w:r>
          </w:p>
        </w:tc>
      </w:tr>
      <w:tr w:rsidR="00541027" w:rsidRPr="00541027" w:rsidTr="008054BE">
        <w:trPr>
          <w:trHeight w:val="429"/>
        </w:trPr>
        <w:tc>
          <w:tcPr>
            <w:tcW w:w="2978" w:type="dxa"/>
            <w:vAlign w:val="center"/>
          </w:tcPr>
          <w:p w:rsidR="00541027" w:rsidRPr="00541027" w:rsidRDefault="00660014" w:rsidP="008054BE">
            <w:pPr>
              <w:pStyle w:val="ListBullet"/>
              <w:numPr>
                <w:ilvl w:val="0"/>
                <w:numId w:val="0"/>
              </w:numPr>
              <w:spacing w:line="240" w:lineRule="auto"/>
              <w:jc w:val="center"/>
              <w:rPr>
                <w:rFonts w:ascii="Open Sans" w:hAnsi="Open Sans" w:cs="Open Sans"/>
              </w:rPr>
            </w:pPr>
            <w:r>
              <w:rPr>
                <w:rFonts w:ascii="Open Sans" w:hAnsi="Open Sans" w:cs="Open Sans"/>
              </w:rPr>
              <w:t>Lancashire Constabulary</w:t>
            </w:r>
          </w:p>
        </w:tc>
        <w:tc>
          <w:tcPr>
            <w:tcW w:w="2978" w:type="dxa"/>
            <w:vAlign w:val="center"/>
          </w:tcPr>
          <w:p w:rsidR="00541027" w:rsidRPr="00541027" w:rsidRDefault="00660014" w:rsidP="008054BE">
            <w:pPr>
              <w:pStyle w:val="ListBullet"/>
              <w:numPr>
                <w:ilvl w:val="0"/>
                <w:numId w:val="0"/>
              </w:numPr>
              <w:spacing w:line="240" w:lineRule="auto"/>
              <w:jc w:val="center"/>
              <w:rPr>
                <w:rFonts w:ascii="Open Sans" w:hAnsi="Open Sans" w:cs="Open Sans"/>
              </w:rPr>
            </w:pPr>
            <w:r>
              <w:rPr>
                <w:rFonts w:ascii="Open Sans" w:hAnsi="Open Sans" w:cs="Open Sans"/>
              </w:rPr>
              <w:t>Bmet College</w:t>
            </w:r>
          </w:p>
        </w:tc>
        <w:tc>
          <w:tcPr>
            <w:tcW w:w="2978" w:type="dxa"/>
            <w:vAlign w:val="center"/>
          </w:tcPr>
          <w:p w:rsidR="00541027" w:rsidRPr="00541027" w:rsidRDefault="00AA0E8F" w:rsidP="008054BE">
            <w:pPr>
              <w:pStyle w:val="ListBullet"/>
              <w:numPr>
                <w:ilvl w:val="0"/>
                <w:numId w:val="0"/>
              </w:numPr>
              <w:spacing w:line="240" w:lineRule="auto"/>
              <w:jc w:val="center"/>
              <w:rPr>
                <w:rFonts w:ascii="Open Sans" w:hAnsi="Open Sans" w:cs="Open Sans"/>
              </w:rPr>
            </w:pPr>
            <w:r>
              <w:rPr>
                <w:rFonts w:ascii="Open Sans" w:hAnsi="Open Sans" w:cs="Open Sans"/>
              </w:rPr>
              <w:t>First Choice Homes Oldham</w:t>
            </w:r>
          </w:p>
        </w:tc>
      </w:tr>
      <w:tr w:rsidR="00541027" w:rsidRPr="00541027" w:rsidTr="008054BE">
        <w:trPr>
          <w:trHeight w:val="429"/>
        </w:trPr>
        <w:tc>
          <w:tcPr>
            <w:tcW w:w="2978" w:type="dxa"/>
            <w:vAlign w:val="center"/>
          </w:tcPr>
          <w:p w:rsidR="00541027" w:rsidRPr="00541027" w:rsidRDefault="00660014" w:rsidP="008054BE">
            <w:pPr>
              <w:pStyle w:val="ListBullet"/>
              <w:numPr>
                <w:ilvl w:val="0"/>
                <w:numId w:val="0"/>
              </w:numPr>
              <w:spacing w:line="240" w:lineRule="auto"/>
              <w:jc w:val="center"/>
              <w:rPr>
                <w:rFonts w:ascii="Open Sans" w:hAnsi="Open Sans" w:cs="Open Sans"/>
              </w:rPr>
            </w:pPr>
            <w:r>
              <w:rPr>
                <w:rFonts w:ascii="Open Sans" w:hAnsi="Open Sans" w:cs="Open Sans"/>
              </w:rPr>
              <w:t>Community Gateway (HA)</w:t>
            </w:r>
          </w:p>
        </w:tc>
        <w:tc>
          <w:tcPr>
            <w:tcW w:w="2978" w:type="dxa"/>
            <w:vAlign w:val="center"/>
          </w:tcPr>
          <w:p w:rsidR="00541027" w:rsidRPr="00541027" w:rsidRDefault="00660014" w:rsidP="008054BE">
            <w:pPr>
              <w:pStyle w:val="ListBullet"/>
              <w:numPr>
                <w:ilvl w:val="0"/>
                <w:numId w:val="0"/>
              </w:numPr>
              <w:spacing w:line="240" w:lineRule="auto"/>
              <w:jc w:val="center"/>
              <w:rPr>
                <w:rFonts w:ascii="Open Sans" w:hAnsi="Open Sans" w:cs="Open Sans"/>
              </w:rPr>
            </w:pPr>
            <w:r>
              <w:rPr>
                <w:rFonts w:ascii="Open Sans" w:hAnsi="Open Sans" w:cs="Open Sans"/>
              </w:rPr>
              <w:t>Queen Elizabeth Hospital</w:t>
            </w:r>
          </w:p>
        </w:tc>
        <w:tc>
          <w:tcPr>
            <w:tcW w:w="2978" w:type="dxa"/>
            <w:vAlign w:val="center"/>
          </w:tcPr>
          <w:p w:rsidR="00541027" w:rsidRPr="00541027" w:rsidRDefault="00541027" w:rsidP="008054BE">
            <w:pPr>
              <w:pStyle w:val="ListBullet"/>
              <w:numPr>
                <w:ilvl w:val="0"/>
                <w:numId w:val="0"/>
              </w:numPr>
              <w:spacing w:line="240" w:lineRule="auto"/>
              <w:jc w:val="center"/>
              <w:rPr>
                <w:rFonts w:ascii="Open Sans" w:hAnsi="Open Sans" w:cs="Open Sans"/>
              </w:rPr>
            </w:pPr>
          </w:p>
        </w:tc>
      </w:tr>
      <w:tr w:rsidR="00541027" w:rsidRPr="00541027" w:rsidTr="008054BE">
        <w:trPr>
          <w:trHeight w:val="429"/>
        </w:trPr>
        <w:tc>
          <w:tcPr>
            <w:tcW w:w="2978" w:type="dxa"/>
            <w:vAlign w:val="center"/>
          </w:tcPr>
          <w:p w:rsidR="00541027" w:rsidRPr="00541027" w:rsidRDefault="00C03503" w:rsidP="008054BE">
            <w:pPr>
              <w:pStyle w:val="ListBullet"/>
              <w:numPr>
                <w:ilvl w:val="0"/>
                <w:numId w:val="0"/>
              </w:numPr>
              <w:spacing w:line="240" w:lineRule="auto"/>
              <w:jc w:val="center"/>
              <w:rPr>
                <w:rFonts w:ascii="Open Sans" w:hAnsi="Open Sans" w:cs="Open Sans"/>
              </w:rPr>
            </w:pPr>
            <w:r>
              <w:rPr>
                <w:rFonts w:ascii="Open Sans" w:hAnsi="Open Sans" w:cs="Open Sans"/>
              </w:rPr>
              <w:t>University of Central Lancashire (UCLAN)</w:t>
            </w:r>
          </w:p>
        </w:tc>
        <w:tc>
          <w:tcPr>
            <w:tcW w:w="2978" w:type="dxa"/>
            <w:vAlign w:val="center"/>
          </w:tcPr>
          <w:p w:rsidR="00541027" w:rsidRPr="00541027" w:rsidRDefault="00660014" w:rsidP="008054BE">
            <w:pPr>
              <w:pStyle w:val="ListBullet"/>
              <w:numPr>
                <w:ilvl w:val="0"/>
                <w:numId w:val="0"/>
              </w:numPr>
              <w:spacing w:line="240" w:lineRule="auto"/>
              <w:jc w:val="center"/>
              <w:rPr>
                <w:rFonts w:ascii="Open Sans" w:hAnsi="Open Sans" w:cs="Open Sans"/>
              </w:rPr>
            </w:pPr>
            <w:r>
              <w:rPr>
                <w:rFonts w:ascii="Open Sans" w:hAnsi="Open Sans" w:cs="Open Sans"/>
              </w:rPr>
              <w:t>University of Birmingham</w:t>
            </w:r>
          </w:p>
        </w:tc>
        <w:tc>
          <w:tcPr>
            <w:tcW w:w="2978" w:type="dxa"/>
            <w:vAlign w:val="center"/>
          </w:tcPr>
          <w:p w:rsidR="00541027" w:rsidRPr="00541027" w:rsidRDefault="00541027" w:rsidP="008054BE">
            <w:pPr>
              <w:pStyle w:val="ListBullet"/>
              <w:numPr>
                <w:ilvl w:val="0"/>
                <w:numId w:val="0"/>
              </w:numPr>
              <w:spacing w:line="240" w:lineRule="auto"/>
              <w:jc w:val="center"/>
              <w:rPr>
                <w:rFonts w:ascii="Open Sans" w:hAnsi="Open Sans" w:cs="Open Sans"/>
              </w:rPr>
            </w:pPr>
          </w:p>
        </w:tc>
      </w:tr>
      <w:tr w:rsidR="00541027" w:rsidRPr="00541027" w:rsidTr="008054BE">
        <w:trPr>
          <w:trHeight w:val="405"/>
        </w:trPr>
        <w:tc>
          <w:tcPr>
            <w:tcW w:w="2978" w:type="dxa"/>
            <w:vAlign w:val="center"/>
          </w:tcPr>
          <w:p w:rsidR="00541027" w:rsidRPr="00541027" w:rsidRDefault="00541027" w:rsidP="008054BE">
            <w:pPr>
              <w:pStyle w:val="ListBullet"/>
              <w:numPr>
                <w:ilvl w:val="0"/>
                <w:numId w:val="0"/>
              </w:numPr>
              <w:spacing w:line="240" w:lineRule="auto"/>
              <w:jc w:val="center"/>
              <w:rPr>
                <w:rFonts w:ascii="Open Sans" w:hAnsi="Open Sans" w:cs="Open Sans"/>
              </w:rPr>
            </w:pPr>
          </w:p>
        </w:tc>
        <w:tc>
          <w:tcPr>
            <w:tcW w:w="2978" w:type="dxa"/>
            <w:vAlign w:val="center"/>
          </w:tcPr>
          <w:p w:rsidR="00541027" w:rsidRPr="00541027" w:rsidRDefault="00660014" w:rsidP="008054BE">
            <w:pPr>
              <w:pStyle w:val="ListBullet"/>
              <w:numPr>
                <w:ilvl w:val="0"/>
                <w:numId w:val="0"/>
              </w:numPr>
              <w:spacing w:line="240" w:lineRule="auto"/>
              <w:jc w:val="center"/>
              <w:rPr>
                <w:rFonts w:ascii="Open Sans" w:hAnsi="Open Sans" w:cs="Open Sans"/>
              </w:rPr>
            </w:pPr>
            <w:r>
              <w:rPr>
                <w:rFonts w:ascii="Open Sans" w:hAnsi="Open Sans" w:cs="Open Sans"/>
              </w:rPr>
              <w:t>West Midlands Housing</w:t>
            </w:r>
          </w:p>
        </w:tc>
        <w:tc>
          <w:tcPr>
            <w:tcW w:w="2978" w:type="dxa"/>
            <w:vAlign w:val="center"/>
          </w:tcPr>
          <w:p w:rsidR="00541027" w:rsidRPr="00541027" w:rsidRDefault="00541027" w:rsidP="008054BE">
            <w:pPr>
              <w:pStyle w:val="ListBullet"/>
              <w:numPr>
                <w:ilvl w:val="0"/>
                <w:numId w:val="0"/>
              </w:numPr>
              <w:spacing w:line="240" w:lineRule="auto"/>
              <w:jc w:val="center"/>
              <w:rPr>
                <w:rFonts w:ascii="Open Sans" w:hAnsi="Open Sans" w:cs="Open Sans"/>
              </w:rPr>
            </w:pPr>
          </w:p>
        </w:tc>
      </w:tr>
    </w:tbl>
    <w:p w:rsidR="00541027" w:rsidRPr="00327341" w:rsidRDefault="00541027" w:rsidP="008054BE">
      <w:pPr>
        <w:pStyle w:val="ListBullet"/>
        <w:numPr>
          <w:ilvl w:val="0"/>
          <w:numId w:val="0"/>
        </w:numPr>
      </w:pPr>
    </w:p>
    <w:p w:rsidR="00421C47" w:rsidRDefault="00421C47" w:rsidP="00801970">
      <w:pPr>
        <w:pStyle w:val="Heading2"/>
        <w:rPr>
          <w:rFonts w:ascii="Open Sans" w:hAnsi="Open Sans" w:cs="Open Sans"/>
        </w:rPr>
      </w:pPr>
      <w:bookmarkStart w:id="14" w:name="_Toc495660132"/>
      <w:r w:rsidRPr="00801970">
        <w:rPr>
          <w:rFonts w:ascii="Open Sans" w:hAnsi="Open Sans" w:cs="Open Sans"/>
        </w:rPr>
        <w:t>Engaging local institutions</w:t>
      </w:r>
      <w:bookmarkEnd w:id="14"/>
    </w:p>
    <w:p w:rsidR="008D26F3" w:rsidRPr="00B43E39" w:rsidRDefault="00C825BE" w:rsidP="00E302A5">
      <w:pPr>
        <w:pStyle w:val="BodyText"/>
        <w:rPr>
          <w:rFonts w:ascii="Open Sans" w:hAnsi="Open Sans" w:cs="Open Sans"/>
        </w:rPr>
      </w:pPr>
      <w:r>
        <w:rPr>
          <w:rFonts w:ascii="Open Sans" w:hAnsi="Open Sans" w:cs="Open Sans"/>
        </w:rPr>
        <w:t>Prior to engaging local institutions</w:t>
      </w:r>
      <w:r w:rsidR="00B43E39">
        <w:rPr>
          <w:rFonts w:ascii="Open Sans" w:hAnsi="Open Sans" w:cs="Open Sans"/>
        </w:rPr>
        <w:t>,</w:t>
      </w:r>
      <w:r>
        <w:rPr>
          <w:rFonts w:ascii="Open Sans" w:hAnsi="Open Sans" w:cs="Open Sans"/>
        </w:rPr>
        <w:t xml:space="preserve"> it is useful to consider a c</w:t>
      </w:r>
      <w:r w:rsidR="00541027">
        <w:rPr>
          <w:rFonts w:ascii="Open Sans" w:hAnsi="Open Sans" w:cs="Open Sans"/>
        </w:rPr>
        <w:t>ommunications plan</w:t>
      </w:r>
      <w:r>
        <w:rPr>
          <w:rFonts w:ascii="Open Sans" w:hAnsi="Open Sans" w:cs="Open Sans"/>
        </w:rPr>
        <w:t xml:space="preserve"> to target the key messages at the audience you wish to reach. This may involve press releases, </w:t>
      </w:r>
      <w:r w:rsidR="008054BE">
        <w:rPr>
          <w:rFonts w:ascii="Open Sans" w:hAnsi="Open Sans" w:cs="Open Sans"/>
        </w:rPr>
        <w:t>articles,</w:t>
      </w:r>
      <w:r>
        <w:rPr>
          <w:rFonts w:ascii="Open Sans" w:hAnsi="Open Sans" w:cs="Open Sans"/>
        </w:rPr>
        <w:t xml:space="preserve"> blogs and social media</w:t>
      </w:r>
      <w:r w:rsidR="00B43E39">
        <w:rPr>
          <w:rFonts w:ascii="Open Sans" w:hAnsi="Open Sans" w:cs="Open Sans"/>
        </w:rPr>
        <w:t xml:space="preserve"> to communicate the objectives across all levels of the anchor institutions</w:t>
      </w:r>
      <w:r w:rsidR="00E302A5">
        <w:rPr>
          <w:rFonts w:ascii="Open Sans" w:hAnsi="Open Sans" w:cs="Open Sans"/>
        </w:rPr>
        <w:t xml:space="preserve">, with open events to explain </w:t>
      </w:r>
      <w:r w:rsidR="00E302A5" w:rsidRPr="00E302A5">
        <w:rPr>
          <w:rFonts w:ascii="Open Sans" w:hAnsi="Open Sans" w:cs="Open Sans"/>
        </w:rPr>
        <w:t>the concept of an</w:t>
      </w:r>
      <w:r w:rsidR="00E302A5">
        <w:rPr>
          <w:rFonts w:ascii="Open Sans" w:hAnsi="Open Sans" w:cs="Open Sans"/>
        </w:rPr>
        <w:t>chor institutions</w:t>
      </w:r>
      <w:r w:rsidR="00E302A5" w:rsidRPr="00E302A5">
        <w:rPr>
          <w:rFonts w:ascii="Open Sans" w:hAnsi="Open Sans" w:cs="Open Sans"/>
        </w:rPr>
        <w:t xml:space="preserve"> facilitating wider community wealth and creating better local economies. </w:t>
      </w:r>
    </w:p>
    <w:p w:rsidR="00B82FE6" w:rsidRDefault="00B82FE6" w:rsidP="008D26F3">
      <w:pPr>
        <w:pStyle w:val="BodyText"/>
        <w:rPr>
          <w:rFonts w:ascii="Open Sans" w:hAnsi="Open Sans" w:cs="Open Sans"/>
        </w:rPr>
      </w:pPr>
      <w:r>
        <w:rPr>
          <w:rFonts w:ascii="Open Sans" w:hAnsi="Open Sans" w:cs="Open Sans"/>
        </w:rPr>
        <w:t>In our experience of developing anchor institution networks, i</w:t>
      </w:r>
      <w:r w:rsidR="001B0BCC">
        <w:rPr>
          <w:rFonts w:ascii="Open Sans" w:hAnsi="Open Sans" w:cs="Open Sans"/>
        </w:rPr>
        <w:t xml:space="preserve">t is </w:t>
      </w:r>
      <w:r>
        <w:rPr>
          <w:rFonts w:ascii="Open Sans" w:hAnsi="Open Sans" w:cs="Open Sans"/>
        </w:rPr>
        <w:t xml:space="preserve">critically </w:t>
      </w:r>
      <w:r w:rsidR="001B0BCC">
        <w:rPr>
          <w:rFonts w:ascii="Open Sans" w:hAnsi="Open Sans" w:cs="Open Sans"/>
        </w:rPr>
        <w:t>important to e</w:t>
      </w:r>
      <w:r w:rsidR="008D26F3">
        <w:rPr>
          <w:rFonts w:ascii="Open Sans" w:hAnsi="Open Sans" w:cs="Open Sans"/>
        </w:rPr>
        <w:t>ngag</w:t>
      </w:r>
      <w:r w:rsidR="001B0BCC">
        <w:rPr>
          <w:rFonts w:ascii="Open Sans" w:hAnsi="Open Sans" w:cs="Open Sans"/>
        </w:rPr>
        <w:t xml:space="preserve">e </w:t>
      </w:r>
      <w:r w:rsidR="008D26F3">
        <w:rPr>
          <w:rFonts w:ascii="Open Sans" w:hAnsi="Open Sans" w:cs="Open Sans"/>
        </w:rPr>
        <w:t>at a strategic level</w:t>
      </w:r>
      <w:r w:rsidR="008D26F3" w:rsidRPr="008D26F3">
        <w:t xml:space="preserve"> </w:t>
      </w:r>
      <w:r w:rsidR="008D26F3" w:rsidRPr="008D26F3">
        <w:rPr>
          <w:rFonts w:ascii="Open Sans" w:hAnsi="Open Sans" w:cs="Open Sans"/>
        </w:rPr>
        <w:t xml:space="preserve">to ensure that the principles of community wealth </w:t>
      </w:r>
      <w:r w:rsidR="001B0BCC">
        <w:rPr>
          <w:rFonts w:ascii="Open Sans" w:hAnsi="Open Sans" w:cs="Open Sans"/>
        </w:rPr>
        <w:t xml:space="preserve">building are </w:t>
      </w:r>
      <w:r w:rsidR="008D26F3" w:rsidRPr="008D26F3">
        <w:rPr>
          <w:rFonts w:ascii="Open Sans" w:hAnsi="Open Sans" w:cs="Open Sans"/>
        </w:rPr>
        <w:t xml:space="preserve">embedded at the very top of each institution, </w:t>
      </w:r>
      <w:r w:rsidR="001B0BCC">
        <w:rPr>
          <w:rFonts w:ascii="Open Sans" w:hAnsi="Open Sans" w:cs="Open Sans"/>
        </w:rPr>
        <w:t xml:space="preserve">this will involve engaging with </w:t>
      </w:r>
      <w:r w:rsidR="008D26F3" w:rsidRPr="008D26F3">
        <w:rPr>
          <w:rFonts w:ascii="Open Sans" w:hAnsi="Open Sans" w:cs="Open Sans"/>
        </w:rPr>
        <w:t xml:space="preserve">Chief Officers or political leaders </w:t>
      </w:r>
      <w:r w:rsidR="001B0BCC">
        <w:rPr>
          <w:rFonts w:ascii="Open Sans" w:hAnsi="Open Sans" w:cs="Open Sans"/>
        </w:rPr>
        <w:t>to ensure their institutions buy-in to a shared vision and are engaged over</w:t>
      </w:r>
      <w:r w:rsidR="008D26F3" w:rsidRPr="008D26F3">
        <w:rPr>
          <w:rFonts w:ascii="Open Sans" w:hAnsi="Open Sans" w:cs="Open Sans"/>
        </w:rPr>
        <w:t xml:space="preserve"> the long term.</w:t>
      </w:r>
      <w:r w:rsidR="001B0BCC">
        <w:rPr>
          <w:rFonts w:ascii="Open Sans" w:hAnsi="Open Sans" w:cs="Open Sans"/>
        </w:rPr>
        <w:t xml:space="preserve"> </w:t>
      </w:r>
    </w:p>
    <w:p w:rsidR="008D26F3" w:rsidRDefault="001B0BCC" w:rsidP="008D26F3">
      <w:pPr>
        <w:pStyle w:val="BodyText"/>
        <w:rPr>
          <w:rFonts w:ascii="Open Sans" w:hAnsi="Open Sans" w:cs="Open Sans"/>
        </w:rPr>
      </w:pPr>
      <w:r>
        <w:rPr>
          <w:rFonts w:ascii="Open Sans" w:hAnsi="Open Sans" w:cs="Open Sans"/>
        </w:rPr>
        <w:t xml:space="preserve">It is however equally important to engage </w:t>
      </w:r>
      <w:r w:rsidR="008D26F3" w:rsidRPr="008D26F3">
        <w:rPr>
          <w:rFonts w:ascii="Open Sans" w:hAnsi="Open Sans" w:cs="Open Sans"/>
        </w:rPr>
        <w:t>middle management level</w:t>
      </w:r>
      <w:r>
        <w:rPr>
          <w:rFonts w:ascii="Open Sans" w:hAnsi="Open Sans" w:cs="Open Sans"/>
        </w:rPr>
        <w:t xml:space="preserve"> stakeholders in each institution</w:t>
      </w:r>
      <w:r w:rsidR="008D26F3" w:rsidRPr="008D26F3">
        <w:rPr>
          <w:rFonts w:ascii="Open Sans" w:hAnsi="Open Sans" w:cs="Open Sans"/>
        </w:rPr>
        <w:t>, to ensure that the</w:t>
      </w:r>
      <w:r>
        <w:rPr>
          <w:rFonts w:ascii="Open Sans" w:hAnsi="Open Sans" w:cs="Open Sans"/>
        </w:rPr>
        <w:t xml:space="preserve"> behaviour changes required to achieve the shared visi</w:t>
      </w:r>
      <w:r w:rsidR="008054BE">
        <w:rPr>
          <w:rFonts w:ascii="Open Sans" w:hAnsi="Open Sans" w:cs="Open Sans"/>
        </w:rPr>
        <w:t>on are embedded</w:t>
      </w:r>
      <w:r w:rsidR="00B82FE6">
        <w:rPr>
          <w:rFonts w:ascii="Open Sans" w:hAnsi="Open Sans" w:cs="Open Sans"/>
        </w:rPr>
        <w:t xml:space="preserve"> by shifting institutional processes</w:t>
      </w:r>
      <w:r>
        <w:rPr>
          <w:rFonts w:ascii="Open Sans" w:hAnsi="Open Sans" w:cs="Open Sans"/>
        </w:rPr>
        <w:t xml:space="preserve">. Engaging delivery staff on the ground is </w:t>
      </w:r>
      <w:r w:rsidR="00B82FE6">
        <w:rPr>
          <w:rFonts w:ascii="Open Sans" w:hAnsi="Open Sans" w:cs="Open Sans"/>
        </w:rPr>
        <w:t>just as</w:t>
      </w:r>
      <w:r>
        <w:rPr>
          <w:rFonts w:ascii="Open Sans" w:hAnsi="Open Sans" w:cs="Open Sans"/>
        </w:rPr>
        <w:t xml:space="preserve"> important, as the people charged with implementing change need to have an awareness of the wider objectives of delivering an anchor institution strategy and understand the benefits of being part of an anchor institution network.</w:t>
      </w:r>
    </w:p>
    <w:p w:rsidR="0005488A" w:rsidRPr="008D26F3" w:rsidRDefault="00931325" w:rsidP="0005488A">
      <w:pPr>
        <w:pStyle w:val="BodyText"/>
        <w:rPr>
          <w:rFonts w:ascii="Open Sans" w:hAnsi="Open Sans" w:cs="Open Sans"/>
        </w:rPr>
      </w:pPr>
      <w:r>
        <w:rPr>
          <w:rFonts w:ascii="Open Sans" w:hAnsi="Open Sans" w:cs="Open Sans"/>
        </w:rPr>
        <w:t xml:space="preserve">Delivering an anchor institution strategy should be a practice focused exercise, so while it requires strategic buy-in, the majority of energy should be focused on changing practice and </w:t>
      </w:r>
      <w:r w:rsidR="00B82FE6">
        <w:rPr>
          <w:rFonts w:ascii="Open Sans" w:hAnsi="Open Sans" w:cs="Open Sans"/>
        </w:rPr>
        <w:t xml:space="preserve">institutional </w:t>
      </w:r>
      <w:r>
        <w:rPr>
          <w:rFonts w:ascii="Open Sans" w:hAnsi="Open Sans" w:cs="Open Sans"/>
        </w:rPr>
        <w:t xml:space="preserve">behaviour on the ground. </w:t>
      </w:r>
    </w:p>
    <w:p w:rsidR="008054BE" w:rsidRDefault="00541027" w:rsidP="004D2B9E">
      <w:pPr>
        <w:pStyle w:val="Heading2"/>
        <w:rPr>
          <w:rFonts w:ascii="Open Sans" w:hAnsi="Open Sans" w:cs="Open Sans"/>
        </w:rPr>
      </w:pPr>
      <w:bookmarkStart w:id="15" w:name="_Toc495660133"/>
      <w:r w:rsidRPr="008054BE">
        <w:rPr>
          <w:rFonts w:ascii="Open Sans" w:hAnsi="Open Sans" w:cs="Open Sans"/>
        </w:rPr>
        <w:t xml:space="preserve">Understanding </w:t>
      </w:r>
      <w:r w:rsidR="008054BE" w:rsidRPr="008054BE">
        <w:rPr>
          <w:rFonts w:ascii="Open Sans" w:hAnsi="Open Sans" w:cs="Open Sans"/>
        </w:rPr>
        <w:t xml:space="preserve">the priorities of </w:t>
      </w:r>
      <w:r w:rsidRPr="008054BE">
        <w:rPr>
          <w:rFonts w:ascii="Open Sans" w:hAnsi="Open Sans" w:cs="Open Sans"/>
        </w:rPr>
        <w:t xml:space="preserve">local institutions </w:t>
      </w:r>
      <w:bookmarkEnd w:id="15"/>
    </w:p>
    <w:p w:rsidR="007C2ED5" w:rsidRPr="008054BE" w:rsidRDefault="00931325" w:rsidP="008054BE">
      <w:pPr>
        <w:pStyle w:val="Heading2"/>
        <w:numPr>
          <w:ilvl w:val="0"/>
          <w:numId w:val="0"/>
        </w:numPr>
        <w:ind w:left="720"/>
        <w:rPr>
          <w:rFonts w:ascii="Open Sans" w:hAnsi="Open Sans" w:cs="Open Sans"/>
          <w:b w:val="0"/>
          <w:bCs w:val="0"/>
          <w:color w:val="auto"/>
          <w:sz w:val="20"/>
          <w:szCs w:val="22"/>
        </w:rPr>
      </w:pPr>
      <w:r w:rsidRPr="008054BE">
        <w:rPr>
          <w:rFonts w:ascii="Open Sans" w:hAnsi="Open Sans" w:cs="Open Sans"/>
          <w:b w:val="0"/>
          <w:bCs w:val="0"/>
          <w:color w:val="auto"/>
          <w:sz w:val="20"/>
          <w:szCs w:val="22"/>
        </w:rPr>
        <w:t>Developing an anchor institution strategy cannot be a prescriptive process, each institution will have differing inte</w:t>
      </w:r>
      <w:r w:rsidR="008054BE">
        <w:rPr>
          <w:rFonts w:ascii="Open Sans" w:hAnsi="Open Sans" w:cs="Open Sans"/>
          <w:b w:val="0"/>
          <w:bCs w:val="0"/>
          <w:color w:val="auto"/>
          <w:sz w:val="20"/>
          <w:szCs w:val="22"/>
        </w:rPr>
        <w:t>rests and differing priorities. Initial discussions</w:t>
      </w:r>
      <w:r w:rsidR="007C2ED5" w:rsidRPr="008054BE">
        <w:rPr>
          <w:rFonts w:ascii="Open Sans" w:hAnsi="Open Sans" w:cs="Open Sans"/>
          <w:b w:val="0"/>
          <w:bCs w:val="0"/>
          <w:color w:val="auto"/>
          <w:sz w:val="20"/>
          <w:szCs w:val="22"/>
        </w:rPr>
        <w:t xml:space="preserve"> need to </w:t>
      </w:r>
      <w:r w:rsidR="00F74E5A">
        <w:rPr>
          <w:rFonts w:ascii="Open Sans" w:hAnsi="Open Sans" w:cs="Open Sans"/>
          <w:b w:val="0"/>
          <w:bCs w:val="0"/>
          <w:color w:val="auto"/>
          <w:sz w:val="20"/>
          <w:szCs w:val="22"/>
        </w:rPr>
        <w:t>reflect</w:t>
      </w:r>
      <w:r w:rsidR="007C2ED5" w:rsidRPr="008054BE">
        <w:rPr>
          <w:rFonts w:ascii="Open Sans" w:hAnsi="Open Sans" w:cs="Open Sans"/>
          <w:b w:val="0"/>
          <w:bCs w:val="0"/>
          <w:color w:val="auto"/>
          <w:sz w:val="20"/>
          <w:szCs w:val="22"/>
        </w:rPr>
        <w:t xml:space="preserve"> that different wealth building activities will work differently dependent on the place</w:t>
      </w:r>
      <w:r w:rsidR="0005488A" w:rsidRPr="008054BE">
        <w:rPr>
          <w:rFonts w:ascii="Open Sans" w:hAnsi="Open Sans" w:cs="Open Sans"/>
          <w:b w:val="0"/>
          <w:bCs w:val="0"/>
          <w:color w:val="auto"/>
          <w:sz w:val="20"/>
          <w:szCs w:val="22"/>
        </w:rPr>
        <w:t xml:space="preserve"> and the institution</w:t>
      </w:r>
      <w:r w:rsidR="007C2ED5" w:rsidRPr="008054BE">
        <w:rPr>
          <w:rFonts w:ascii="Open Sans" w:hAnsi="Open Sans" w:cs="Open Sans"/>
          <w:b w:val="0"/>
          <w:bCs w:val="0"/>
          <w:color w:val="auto"/>
          <w:sz w:val="20"/>
          <w:szCs w:val="22"/>
        </w:rPr>
        <w:t xml:space="preserve">. </w:t>
      </w:r>
    </w:p>
    <w:p w:rsidR="008054BE" w:rsidRDefault="00931325" w:rsidP="00C03503">
      <w:pPr>
        <w:pStyle w:val="BodyText"/>
        <w:rPr>
          <w:rFonts w:ascii="Open Sans" w:hAnsi="Open Sans" w:cs="Open Sans"/>
        </w:rPr>
      </w:pPr>
      <w:r>
        <w:rPr>
          <w:rFonts w:ascii="Open Sans" w:hAnsi="Open Sans" w:cs="Open Sans"/>
        </w:rPr>
        <w:t xml:space="preserve">Part of the engagement process </w:t>
      </w:r>
      <w:r w:rsidR="00BE6166">
        <w:rPr>
          <w:rFonts w:ascii="Open Sans" w:hAnsi="Open Sans" w:cs="Open Sans"/>
        </w:rPr>
        <w:t xml:space="preserve">therefore </w:t>
      </w:r>
      <w:r>
        <w:rPr>
          <w:rFonts w:ascii="Open Sans" w:hAnsi="Open Sans" w:cs="Open Sans"/>
        </w:rPr>
        <w:t xml:space="preserve">requires an understanding of each </w:t>
      </w:r>
      <w:r w:rsidR="00C03503">
        <w:rPr>
          <w:rFonts w:ascii="Open Sans" w:hAnsi="Open Sans" w:cs="Open Sans"/>
        </w:rPr>
        <w:t xml:space="preserve">individual </w:t>
      </w:r>
      <w:r>
        <w:rPr>
          <w:rFonts w:ascii="Open Sans" w:hAnsi="Open Sans" w:cs="Open Sans"/>
        </w:rPr>
        <w:t>institutions priorities</w:t>
      </w:r>
      <w:r w:rsidR="00541027">
        <w:rPr>
          <w:rFonts w:ascii="Open Sans" w:hAnsi="Open Sans" w:cs="Open Sans"/>
        </w:rPr>
        <w:t xml:space="preserve">, </w:t>
      </w:r>
      <w:r w:rsidR="00BE6166">
        <w:rPr>
          <w:rFonts w:ascii="Open Sans" w:hAnsi="Open Sans" w:cs="Open Sans"/>
        </w:rPr>
        <w:t xml:space="preserve">and which </w:t>
      </w:r>
      <w:r w:rsidR="00541027">
        <w:rPr>
          <w:rFonts w:ascii="Open Sans" w:hAnsi="Open Sans" w:cs="Open Sans"/>
        </w:rPr>
        <w:t xml:space="preserve">areas they </w:t>
      </w:r>
      <w:r w:rsidR="00C03503">
        <w:rPr>
          <w:rFonts w:ascii="Open Sans" w:hAnsi="Open Sans" w:cs="Open Sans"/>
        </w:rPr>
        <w:t xml:space="preserve">feel they can progress. </w:t>
      </w:r>
      <w:r w:rsidR="00541027">
        <w:rPr>
          <w:rFonts w:ascii="Open Sans" w:hAnsi="Open Sans" w:cs="Open Sans"/>
        </w:rPr>
        <w:t>In Preston</w:t>
      </w:r>
      <w:r w:rsidR="00C03503">
        <w:rPr>
          <w:rFonts w:ascii="Open Sans" w:hAnsi="Open Sans" w:cs="Open Sans"/>
        </w:rPr>
        <w:t xml:space="preserve"> for example,</w:t>
      </w:r>
      <w:r w:rsidR="00541027">
        <w:rPr>
          <w:rFonts w:ascii="Open Sans" w:hAnsi="Open Sans" w:cs="Open Sans"/>
        </w:rPr>
        <w:t xml:space="preserve"> each institution has focus</w:t>
      </w:r>
      <w:r w:rsidR="008054BE">
        <w:rPr>
          <w:rFonts w:ascii="Open Sans" w:hAnsi="Open Sans" w:cs="Open Sans"/>
        </w:rPr>
        <w:t>ed on slightly different areas:</w:t>
      </w:r>
    </w:p>
    <w:p w:rsidR="008054BE" w:rsidRDefault="00C03503" w:rsidP="008054BE">
      <w:pPr>
        <w:pStyle w:val="ListBullet"/>
        <w:rPr>
          <w:rFonts w:ascii="Open Sans" w:hAnsi="Open Sans" w:cs="Open Sans"/>
        </w:rPr>
      </w:pPr>
      <w:r w:rsidRPr="008054BE">
        <w:rPr>
          <w:rFonts w:ascii="Open Sans" w:hAnsi="Open Sans" w:cs="Open Sans"/>
        </w:rPr>
        <w:t>Preston Council placed a focus on localising procurement spend, for Lancashire C</w:t>
      </w:r>
      <w:r w:rsidR="008054BE" w:rsidRPr="008054BE">
        <w:rPr>
          <w:rFonts w:ascii="Open Sans" w:hAnsi="Open Sans" w:cs="Open Sans"/>
        </w:rPr>
        <w:t>onstabulary the development of social v</w:t>
      </w:r>
      <w:r w:rsidRPr="008054BE">
        <w:rPr>
          <w:rFonts w:ascii="Open Sans" w:hAnsi="Open Sans" w:cs="Open Sans"/>
        </w:rPr>
        <w:t>alue indicators has helped them to think through how they impact o</w:t>
      </w:r>
      <w:r w:rsidR="008054BE">
        <w:rPr>
          <w:rFonts w:ascii="Open Sans" w:hAnsi="Open Sans" w:cs="Open Sans"/>
        </w:rPr>
        <w:t>n the communities they work in;</w:t>
      </w:r>
    </w:p>
    <w:p w:rsidR="008054BE" w:rsidRDefault="00C03503" w:rsidP="008054BE">
      <w:pPr>
        <w:pStyle w:val="ListBullet"/>
        <w:rPr>
          <w:rFonts w:ascii="Open Sans" w:hAnsi="Open Sans" w:cs="Open Sans"/>
        </w:rPr>
      </w:pPr>
      <w:r w:rsidRPr="008054BE">
        <w:rPr>
          <w:rFonts w:ascii="Open Sans" w:hAnsi="Open Sans" w:cs="Open Sans"/>
        </w:rPr>
        <w:t xml:space="preserve">For UCLAN, their engagement with the Preston Cooperatives Network allows them to bring social </w:t>
      </w:r>
      <w:r w:rsidR="008054BE">
        <w:rPr>
          <w:rFonts w:ascii="Open Sans" w:hAnsi="Open Sans" w:cs="Open Sans"/>
        </w:rPr>
        <w:t>and economic benefit to Preston;</w:t>
      </w:r>
    </w:p>
    <w:p w:rsidR="00541027" w:rsidRDefault="00C03503" w:rsidP="008054BE">
      <w:pPr>
        <w:pStyle w:val="ListBullet"/>
        <w:rPr>
          <w:rFonts w:ascii="Open Sans" w:hAnsi="Open Sans" w:cs="Open Sans"/>
        </w:rPr>
      </w:pPr>
      <w:r w:rsidRPr="008054BE">
        <w:rPr>
          <w:rFonts w:ascii="Open Sans" w:hAnsi="Open Sans" w:cs="Open Sans"/>
        </w:rPr>
        <w:t>Preston College have sought to ensure that whatever they do strategically</w:t>
      </w:r>
      <w:r w:rsidR="008054BE">
        <w:rPr>
          <w:rFonts w:ascii="Open Sans" w:hAnsi="Open Sans" w:cs="Open Sans"/>
        </w:rPr>
        <w:t>,</w:t>
      </w:r>
      <w:r w:rsidRPr="008054BE">
        <w:rPr>
          <w:rFonts w:ascii="Open Sans" w:hAnsi="Open Sans" w:cs="Open Sans"/>
        </w:rPr>
        <w:t xml:space="preserve"> and particularly in terms of physical development brings maximum benefit for their students and </w:t>
      </w:r>
      <w:r w:rsidR="008054BE">
        <w:rPr>
          <w:rFonts w:ascii="Open Sans" w:hAnsi="Open Sans" w:cs="Open Sans"/>
        </w:rPr>
        <w:t>the wider community. They have linked</w:t>
      </w:r>
      <w:r w:rsidRPr="008054BE">
        <w:rPr>
          <w:rFonts w:ascii="Open Sans" w:hAnsi="Open Sans" w:cs="Open Sans"/>
        </w:rPr>
        <w:t xml:space="preserve"> students undertaking courses related to the built environment to the re-development of buildings on the College’s premises, working collaboratively with UCLAN on the transition of students and working closely </w:t>
      </w:r>
      <w:r w:rsidR="00DF40FB" w:rsidRPr="008054BE">
        <w:rPr>
          <w:rFonts w:ascii="Open Sans" w:hAnsi="Open Sans" w:cs="Open Sans"/>
        </w:rPr>
        <w:t xml:space="preserve">to deliver </w:t>
      </w:r>
      <w:r w:rsidRPr="008054BE">
        <w:rPr>
          <w:rFonts w:ascii="Open Sans" w:hAnsi="Open Sans" w:cs="Open Sans"/>
        </w:rPr>
        <w:t xml:space="preserve">the Work and Skills plan for Lancashire. </w:t>
      </w:r>
    </w:p>
    <w:p w:rsidR="00B07522" w:rsidRPr="008054BE" w:rsidRDefault="00B07522" w:rsidP="00B07522">
      <w:pPr>
        <w:pStyle w:val="ListBullet"/>
        <w:numPr>
          <w:ilvl w:val="0"/>
          <w:numId w:val="0"/>
        </w:numPr>
        <w:ind w:left="1304"/>
        <w:rPr>
          <w:rFonts w:ascii="Open Sans" w:hAnsi="Open Sans" w:cs="Open Sans"/>
        </w:rPr>
      </w:pPr>
    </w:p>
    <w:p w:rsidR="0005488A" w:rsidRDefault="00DF40FB" w:rsidP="007C2ED5">
      <w:pPr>
        <w:pStyle w:val="BodyText"/>
        <w:rPr>
          <w:rFonts w:ascii="Open Sans" w:hAnsi="Open Sans" w:cs="Open Sans"/>
        </w:rPr>
      </w:pPr>
      <w:r>
        <w:rPr>
          <w:rFonts w:ascii="Open Sans" w:hAnsi="Open Sans" w:cs="Open Sans"/>
        </w:rPr>
        <w:t xml:space="preserve">In Oldham, the anchor institution approach has brought together the local hospital and the local college, with the former noting an increasing caseload of elderly BME males from specific areas in Oldham, and a nursing and care staff which does not adequality reflect this community. Working with the college they are now exploring how to promote healthcare courses in targeted areas of Oldham to provide career path opportunities to underrepresented groups. </w:t>
      </w:r>
    </w:p>
    <w:p w:rsidR="00541027" w:rsidRDefault="0005488A" w:rsidP="007C2ED5">
      <w:pPr>
        <w:pStyle w:val="BodyText"/>
        <w:rPr>
          <w:rFonts w:ascii="Open Sans" w:hAnsi="Open Sans" w:cs="Open Sans"/>
        </w:rPr>
      </w:pPr>
      <w:r>
        <w:rPr>
          <w:rFonts w:ascii="Open Sans" w:hAnsi="Open Sans" w:cs="Open Sans"/>
        </w:rPr>
        <w:t xml:space="preserve">In essence, an anchor network needs to follow the energy from within institutions and provide a space for creating linkages and joining up thinking that had previously been siloed. </w:t>
      </w:r>
      <w:r w:rsidR="00DF40FB">
        <w:rPr>
          <w:rFonts w:ascii="Open Sans" w:hAnsi="Open Sans" w:cs="Open Sans"/>
        </w:rPr>
        <w:t xml:space="preserve">    </w:t>
      </w:r>
    </w:p>
    <w:p w:rsidR="00421C47" w:rsidRDefault="00421C47" w:rsidP="00801970">
      <w:pPr>
        <w:pStyle w:val="Heading2"/>
        <w:rPr>
          <w:rFonts w:ascii="Open Sans" w:hAnsi="Open Sans" w:cs="Open Sans"/>
        </w:rPr>
      </w:pPr>
      <w:bookmarkStart w:id="16" w:name="_Toc495660134"/>
      <w:r w:rsidRPr="00801970">
        <w:rPr>
          <w:rFonts w:ascii="Open Sans" w:hAnsi="Open Sans" w:cs="Open Sans"/>
        </w:rPr>
        <w:t>Promoting cooperation across institutions</w:t>
      </w:r>
      <w:bookmarkEnd w:id="16"/>
    </w:p>
    <w:p w:rsidR="00931325" w:rsidRPr="00E302A5" w:rsidRDefault="00931325" w:rsidP="00A54164">
      <w:pPr>
        <w:pStyle w:val="BodyText"/>
        <w:rPr>
          <w:rFonts w:ascii="Open Sans" w:hAnsi="Open Sans" w:cs="Open Sans"/>
        </w:rPr>
      </w:pPr>
      <w:r w:rsidRPr="00E302A5">
        <w:rPr>
          <w:rFonts w:ascii="Open Sans" w:hAnsi="Open Sans" w:cs="Open Sans"/>
        </w:rPr>
        <w:t>A</w:t>
      </w:r>
      <w:r w:rsidR="0005488A">
        <w:rPr>
          <w:rFonts w:ascii="Open Sans" w:hAnsi="Open Sans" w:cs="Open Sans"/>
        </w:rPr>
        <w:t>n anchor institution network will</w:t>
      </w:r>
      <w:r w:rsidRPr="00E302A5">
        <w:rPr>
          <w:rFonts w:ascii="Open Sans" w:hAnsi="Open Sans" w:cs="Open Sans"/>
        </w:rPr>
        <w:t xml:space="preserve"> vary in the extent to which </w:t>
      </w:r>
      <w:r w:rsidR="00E302A5">
        <w:rPr>
          <w:rFonts w:ascii="Open Sans" w:hAnsi="Open Sans" w:cs="Open Sans"/>
        </w:rPr>
        <w:t>it is</w:t>
      </w:r>
      <w:r w:rsidRPr="00E302A5">
        <w:rPr>
          <w:rFonts w:ascii="Open Sans" w:hAnsi="Open Sans" w:cs="Open Sans"/>
        </w:rPr>
        <w:t xml:space="preserve"> formalised.</w:t>
      </w:r>
      <w:r w:rsidR="00E302A5" w:rsidRPr="00E302A5">
        <w:rPr>
          <w:rFonts w:ascii="Open Sans" w:hAnsi="Open Sans" w:cs="Open Sans"/>
        </w:rPr>
        <w:t xml:space="preserve"> The activi</w:t>
      </w:r>
      <w:r w:rsidR="00E302A5">
        <w:rPr>
          <w:rFonts w:ascii="Open Sans" w:hAnsi="Open Sans" w:cs="Open Sans"/>
        </w:rPr>
        <w:t xml:space="preserve">ties undertaken in Preston </w:t>
      </w:r>
      <w:r w:rsidR="00E302A5" w:rsidRPr="00E302A5">
        <w:rPr>
          <w:rFonts w:ascii="Open Sans" w:hAnsi="Open Sans" w:cs="Open Sans"/>
        </w:rPr>
        <w:t>brought different anchor institutions through a re</w:t>
      </w:r>
      <w:r w:rsidR="00E302A5">
        <w:rPr>
          <w:rFonts w:ascii="Open Sans" w:hAnsi="Open Sans" w:cs="Open Sans"/>
        </w:rPr>
        <w:t>latively loose arrangement</w:t>
      </w:r>
      <w:r w:rsidR="0005488A">
        <w:rPr>
          <w:rFonts w:ascii="Open Sans" w:hAnsi="Open Sans" w:cs="Open Sans"/>
        </w:rPr>
        <w:t xml:space="preserve"> at the outset</w:t>
      </w:r>
      <w:r w:rsidR="00E302A5">
        <w:rPr>
          <w:rFonts w:ascii="Open Sans" w:hAnsi="Open Sans" w:cs="Open Sans"/>
        </w:rPr>
        <w:t xml:space="preserve"> </w:t>
      </w:r>
      <w:r w:rsidR="00E302A5" w:rsidRPr="00E302A5">
        <w:rPr>
          <w:rFonts w:ascii="Open Sans" w:hAnsi="Open Sans" w:cs="Open Sans"/>
        </w:rPr>
        <w:t xml:space="preserve">and institutions have attended activities, events, and groups where appropriate. </w:t>
      </w:r>
      <w:r w:rsidR="00E302A5">
        <w:rPr>
          <w:rFonts w:ascii="Open Sans" w:hAnsi="Open Sans" w:cs="Open Sans"/>
        </w:rPr>
        <w:t>O</w:t>
      </w:r>
      <w:r w:rsidR="00E302A5" w:rsidRPr="00E302A5">
        <w:rPr>
          <w:rFonts w:ascii="Open Sans" w:hAnsi="Open Sans" w:cs="Open Sans"/>
        </w:rPr>
        <w:t>ver time</w:t>
      </w:r>
      <w:r w:rsidR="00E302A5">
        <w:rPr>
          <w:rFonts w:ascii="Open Sans" w:hAnsi="Open Sans" w:cs="Open Sans"/>
        </w:rPr>
        <w:t xml:space="preserve">, this </w:t>
      </w:r>
      <w:r w:rsidR="00E302A5" w:rsidRPr="00E302A5">
        <w:rPr>
          <w:rFonts w:ascii="Open Sans" w:hAnsi="Open Sans" w:cs="Open Sans"/>
        </w:rPr>
        <w:t xml:space="preserve">has </w:t>
      </w:r>
      <w:r w:rsidR="00E302A5">
        <w:rPr>
          <w:rFonts w:ascii="Open Sans" w:hAnsi="Open Sans" w:cs="Open Sans"/>
        </w:rPr>
        <w:t xml:space="preserve">started to </w:t>
      </w:r>
      <w:r w:rsidR="00E302A5" w:rsidRPr="00E302A5">
        <w:rPr>
          <w:rFonts w:ascii="Open Sans" w:hAnsi="Open Sans" w:cs="Open Sans"/>
        </w:rPr>
        <w:t xml:space="preserve">develop </w:t>
      </w:r>
      <w:r w:rsidR="00E302A5">
        <w:rPr>
          <w:rFonts w:ascii="Open Sans" w:hAnsi="Open Sans" w:cs="Open Sans"/>
        </w:rPr>
        <w:t xml:space="preserve">into </w:t>
      </w:r>
      <w:r w:rsidR="00E302A5" w:rsidRPr="00E302A5">
        <w:rPr>
          <w:rFonts w:ascii="Open Sans" w:hAnsi="Open Sans" w:cs="Open Sans"/>
        </w:rPr>
        <w:t>a more formal learning and co-operation network and CLES is supporting strategists in each anchor institution to come together to share learning and undertake collaborative activities which go beyond the remit of the initiative; while ensuring that the various components of community wealth building are at the forefront of activities.</w:t>
      </w:r>
      <w:r w:rsidR="005E4FDD">
        <w:rPr>
          <w:rFonts w:ascii="Open Sans" w:hAnsi="Open Sans" w:cs="Open Sans"/>
        </w:rPr>
        <w:t xml:space="preserve"> The</w:t>
      </w:r>
      <w:r w:rsidR="005E4FDD" w:rsidRPr="005E4FDD">
        <w:t xml:space="preserve"> </w:t>
      </w:r>
      <w:r w:rsidR="005E4FDD" w:rsidRPr="005E4FDD">
        <w:rPr>
          <w:rFonts w:ascii="Open Sans" w:hAnsi="Open Sans" w:cs="Open Sans"/>
        </w:rPr>
        <w:t>Preston Procurement Practitioners Group</w:t>
      </w:r>
      <w:r w:rsidR="005E4FDD">
        <w:rPr>
          <w:rFonts w:ascii="Open Sans" w:hAnsi="Open Sans" w:cs="Open Sans"/>
        </w:rPr>
        <w:t xml:space="preserve"> was developed to promote co-operation across institutions in relation to procurement practice.  </w:t>
      </w:r>
    </w:p>
    <w:p w:rsidR="005E4FDD" w:rsidRPr="005E4FDD" w:rsidRDefault="005E4FDD" w:rsidP="00A76F9B">
      <w:pPr>
        <w:pStyle w:val="BodyText"/>
        <w:rPr>
          <w:rFonts w:ascii="Open Sans" w:hAnsi="Open Sans" w:cs="Open Sans"/>
          <w:b/>
          <w:i/>
        </w:rPr>
      </w:pPr>
      <w:r w:rsidRPr="005E4FDD">
        <w:rPr>
          <w:rFonts w:ascii="Open Sans" w:hAnsi="Open Sans" w:cs="Open Sans"/>
          <w:b/>
          <w:i/>
          <w:noProof/>
          <w:lang w:eastAsia="en-GB"/>
        </w:rPr>
        <mc:AlternateContent>
          <mc:Choice Requires="wps">
            <w:drawing>
              <wp:anchor distT="45720" distB="45720" distL="114300" distR="114300" simplePos="0" relativeHeight="251659264" behindDoc="0" locked="0" layoutInCell="1" allowOverlap="1" wp14:anchorId="5CA695B2" wp14:editId="3282306B">
                <wp:simplePos x="0" y="0"/>
                <wp:positionH relativeFrom="column">
                  <wp:posOffset>466725</wp:posOffset>
                </wp:positionH>
                <wp:positionV relativeFrom="paragraph">
                  <wp:posOffset>283210</wp:posOffset>
                </wp:positionV>
                <wp:extent cx="5695950" cy="1404620"/>
                <wp:effectExtent l="19050" t="1905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38100">
                          <a:solidFill>
                            <a:srgbClr val="339966"/>
                          </a:solidFill>
                          <a:miter lim="800000"/>
                          <a:headEnd/>
                          <a:tailEnd/>
                        </a:ln>
                      </wps:spPr>
                      <wps:txbx>
                        <w:txbxContent>
                          <w:p w:rsidR="004D2B9E" w:rsidRDefault="004D2B9E" w:rsidP="0005488A">
                            <w:pPr>
                              <w:rPr>
                                <w:rFonts w:ascii="Open Sans" w:hAnsi="Open Sans" w:cs="Open Sans"/>
                              </w:rPr>
                            </w:pPr>
                            <w:r>
                              <w:rPr>
                                <w:rFonts w:ascii="Open Sans" w:hAnsi="Open Sans" w:cs="Open Sans"/>
                              </w:rPr>
                              <w:t>A key component of activities in Preston has been upon progressing the way in which procurement is undertaken across the anchor institutions. Previously, procurement has often been done on the basis of cost, with partial emphasis on quality. It has also been done on a silo-ed basis, so little engagement internally between procurers and those commissioning services and no cross-anchor institution engagement.</w:t>
                            </w:r>
                          </w:p>
                          <w:p w:rsidR="004D2B9E" w:rsidRPr="005E4FDD" w:rsidRDefault="004D2B9E" w:rsidP="0005488A">
                            <w:pPr>
                              <w:rPr>
                                <w:rFonts w:ascii="Open Sans" w:hAnsi="Open Sans" w:cs="Open Sans"/>
                                <w:sz w:val="12"/>
                              </w:rPr>
                            </w:pPr>
                          </w:p>
                          <w:p w:rsidR="004D2B9E" w:rsidRDefault="004D2B9E" w:rsidP="0005488A">
                            <w:pPr>
                              <w:rPr>
                                <w:rFonts w:ascii="Open Sans" w:hAnsi="Open Sans" w:cs="Open Sans"/>
                              </w:rPr>
                            </w:pPr>
                            <w:r>
                              <w:rPr>
                                <w:rFonts w:ascii="Open Sans" w:hAnsi="Open Sans" w:cs="Open Sans"/>
                              </w:rPr>
                              <w:t>The Preston Procurement Practitioners Group was developed to overcome these barriers. It brought together procurement officers from across the anchor institutions to meet together quarterly and to develop a common priority of shifting procurement behaviour so that it not only provided efficiencies, but also so it was used to address wider local economic, social and environmental challenges.</w:t>
                            </w:r>
                          </w:p>
                          <w:p w:rsidR="004D2B9E" w:rsidRPr="005E4FDD" w:rsidRDefault="004D2B9E" w:rsidP="0005488A">
                            <w:pPr>
                              <w:rPr>
                                <w:rFonts w:ascii="Open Sans" w:hAnsi="Open Sans" w:cs="Open Sans"/>
                                <w:sz w:val="12"/>
                              </w:rPr>
                            </w:pPr>
                          </w:p>
                          <w:p w:rsidR="004D2B9E" w:rsidRPr="00495FE1" w:rsidRDefault="004D2B9E" w:rsidP="0005488A">
                            <w:pPr>
                              <w:rPr>
                                <w:rFonts w:ascii="Open Sans" w:hAnsi="Open Sans" w:cs="Open Sans"/>
                              </w:rPr>
                            </w:pPr>
                            <w:r>
                              <w:rPr>
                                <w:rFonts w:ascii="Open Sans" w:hAnsi="Open Sans" w:cs="Open Sans"/>
                              </w:rPr>
                              <w:t xml:space="preserve">The Group has been operating for 3 years and is now the Local Group for the Procure Network, which is seeking to develop an action plan which will fundamentally shift the way in which procurement is undertaken in Preston and wider Lancashire.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A695B2" id="_x0000_t202" coordsize="21600,21600" o:spt="202" path="m,l,21600r21600,l21600,xe">
                <v:stroke joinstyle="miter"/>
                <v:path gradientshapeok="t" o:connecttype="rect"/>
              </v:shapetype>
              <v:shape id="Text Box 2" o:spid="_x0000_s1026" type="#_x0000_t202" style="position:absolute;left:0;text-align:left;margin-left:36.75pt;margin-top:22.3pt;width:44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" strokecolor="#396" strokeweight="3pt">
                <v:textbox style="mso-fit-shape-to-text:t">
                  <w:txbxContent>
                    <w:p w:rsidR="004D2B9E" w:rsidRDefault="004D2B9E" w:rsidP="0005488A">
                      <w:pPr>
                        <w:rPr>
                          <w:rFonts w:ascii="Open Sans" w:hAnsi="Open Sans" w:cs="Open Sans"/>
                        </w:rPr>
                      </w:pPr>
                      <w:r>
                        <w:rPr>
                          <w:rFonts w:ascii="Open Sans" w:hAnsi="Open Sans" w:cs="Open Sans"/>
                        </w:rPr>
                        <w:t>A key component of activities in Preston has been upon progressing the way in which procurement is undertaken across the anchor institutions. Previously, procurement has often been done on the basis of cost, with partial emphasis on quality. It has also been done on a silo-ed basis, so little engagement internally between procurers and those commissioning services and no cross-anchor institution engagement.</w:t>
                      </w:r>
                    </w:p>
                    <w:p w:rsidR="004D2B9E" w:rsidRPr="005E4FDD" w:rsidRDefault="004D2B9E" w:rsidP="0005488A">
                      <w:pPr>
                        <w:rPr>
                          <w:rFonts w:ascii="Open Sans" w:hAnsi="Open Sans" w:cs="Open Sans"/>
                          <w:sz w:val="12"/>
                        </w:rPr>
                      </w:pPr>
                    </w:p>
                    <w:p w:rsidR="004D2B9E" w:rsidRDefault="004D2B9E" w:rsidP="0005488A">
                      <w:pPr>
                        <w:rPr>
                          <w:rFonts w:ascii="Open Sans" w:hAnsi="Open Sans" w:cs="Open Sans"/>
                        </w:rPr>
                      </w:pPr>
                      <w:r>
                        <w:rPr>
                          <w:rFonts w:ascii="Open Sans" w:hAnsi="Open Sans" w:cs="Open Sans"/>
                        </w:rPr>
                        <w:t>The Preston Procurement Practitioners Group was developed to overcome these barriers. It brought together procurement officers from across the anchor institutions to meet together quarterly and to develop a common priority of shifting procurement behaviour so that it not only provided efficiencies, but also so it was used to address wider local economic, social and environmental challenges.</w:t>
                      </w:r>
                    </w:p>
                    <w:p w:rsidR="004D2B9E" w:rsidRPr="005E4FDD" w:rsidRDefault="004D2B9E" w:rsidP="0005488A">
                      <w:pPr>
                        <w:rPr>
                          <w:rFonts w:ascii="Open Sans" w:hAnsi="Open Sans" w:cs="Open Sans"/>
                          <w:sz w:val="12"/>
                        </w:rPr>
                      </w:pPr>
                    </w:p>
                    <w:p w:rsidR="004D2B9E" w:rsidRPr="00495FE1" w:rsidRDefault="004D2B9E" w:rsidP="0005488A">
                      <w:pPr>
                        <w:rPr>
                          <w:rFonts w:ascii="Open Sans" w:hAnsi="Open Sans" w:cs="Open Sans"/>
                        </w:rPr>
                      </w:pPr>
                      <w:r>
                        <w:rPr>
                          <w:rFonts w:ascii="Open Sans" w:hAnsi="Open Sans" w:cs="Open Sans"/>
                        </w:rPr>
                        <w:t xml:space="preserve">The Group has been operating for 3 years and is now the Local Group for the Procure Network, which is seeking to develop an action plan which will fundamentally shift the way in which procurement is undertaken in Preston and wider Lancashire. </w:t>
                      </w:r>
                    </w:p>
                  </w:txbxContent>
                </v:textbox>
                <w10:wrap type="square"/>
              </v:shape>
            </w:pict>
          </mc:Fallback>
        </mc:AlternateContent>
      </w:r>
      <w:r w:rsidRPr="005E4FDD">
        <w:rPr>
          <w:rFonts w:ascii="Open Sans" w:hAnsi="Open Sans" w:cs="Open Sans"/>
          <w:b/>
          <w:i/>
        </w:rPr>
        <w:t xml:space="preserve">Preston Procurement </w:t>
      </w:r>
      <w:r w:rsidRPr="00B07522">
        <w:rPr>
          <w:rFonts w:ascii="Open Sans" w:hAnsi="Open Sans" w:cs="Open Sans"/>
          <w:b/>
          <w:i/>
        </w:rPr>
        <w:t>Practitioners Group</w:t>
      </w:r>
    </w:p>
    <w:p w:rsidR="005E4FDD" w:rsidRPr="005E4FDD" w:rsidRDefault="005E4FDD" w:rsidP="005E4FDD">
      <w:pPr>
        <w:pStyle w:val="BodyText"/>
        <w:spacing w:after="0"/>
        <w:rPr>
          <w:rFonts w:ascii="Open Sans" w:hAnsi="Open Sans" w:cs="Open Sans"/>
          <w:sz w:val="10"/>
        </w:rPr>
      </w:pPr>
    </w:p>
    <w:p w:rsidR="0005488A" w:rsidRDefault="005E4FDD" w:rsidP="00A76F9B">
      <w:pPr>
        <w:pStyle w:val="BodyText"/>
        <w:rPr>
          <w:rFonts w:ascii="Open Sans" w:hAnsi="Open Sans" w:cs="Open Sans"/>
        </w:rPr>
      </w:pPr>
      <w:r w:rsidRPr="005E4FDD">
        <w:rPr>
          <w:rFonts w:ascii="Open Sans" w:hAnsi="Open Sans" w:cs="Open Sans"/>
        </w:rPr>
        <w:t xml:space="preserve">In Oldham, the Oldham Leadership Board brings together proactive and engaged public, private, voluntary and community organisations in Oldham. All </w:t>
      </w:r>
      <w:r w:rsidR="00B07522">
        <w:rPr>
          <w:rFonts w:ascii="Open Sans" w:hAnsi="Open Sans" w:cs="Open Sans"/>
        </w:rPr>
        <w:t>the</w:t>
      </w:r>
      <w:r w:rsidRPr="005E4FDD">
        <w:rPr>
          <w:rFonts w:ascii="Open Sans" w:hAnsi="Open Sans" w:cs="Open Sans"/>
        </w:rPr>
        <w:t xml:space="preserve"> partners share the common vision ‘to make Oldham a place of ambition’ and are committed to working with each other and with the people of Oldham to create a productive place with healthy, aspirational and sustainable communities. CLES have been invited to work alongside the Leadership Board to embed a community wealth building approach with emphasis on collaboration, alignment, joint commissioning and investment.</w:t>
      </w:r>
    </w:p>
    <w:p w:rsidR="00421C47" w:rsidRDefault="00421C47" w:rsidP="00421C47">
      <w:pPr>
        <w:pStyle w:val="Heading1"/>
        <w:rPr>
          <w:rFonts w:ascii="Open Sans" w:hAnsi="Open Sans" w:cs="Open Sans"/>
        </w:rPr>
      </w:pPr>
      <w:bookmarkStart w:id="17" w:name="_Toc495660135"/>
      <w:r w:rsidRPr="00821CA8">
        <w:rPr>
          <w:rFonts w:ascii="Open Sans" w:hAnsi="Open Sans" w:cs="Open Sans"/>
        </w:rPr>
        <w:t>Developing an Anchor Institution Strategy</w:t>
      </w:r>
      <w:bookmarkEnd w:id="17"/>
    </w:p>
    <w:p w:rsidR="000E2F3E" w:rsidRPr="000E2F3E" w:rsidRDefault="000E2F3E" w:rsidP="000E2F3E">
      <w:pPr>
        <w:pStyle w:val="BodyText"/>
        <w:rPr>
          <w:rFonts w:ascii="Open Sans" w:hAnsi="Open Sans" w:cs="Open Sans"/>
        </w:rPr>
      </w:pPr>
      <w:r>
        <w:rPr>
          <w:rFonts w:ascii="Open Sans" w:hAnsi="Open Sans" w:cs="Open Sans"/>
        </w:rPr>
        <w:t>In Doncaster, the refresh of the economic strategy has provided the impetus to explore the role of anchor institu</w:t>
      </w:r>
      <w:r w:rsidR="00F40C9E">
        <w:rPr>
          <w:rFonts w:ascii="Open Sans" w:hAnsi="Open Sans" w:cs="Open Sans"/>
        </w:rPr>
        <w:t xml:space="preserve">tions. However, </w:t>
      </w:r>
      <w:r>
        <w:rPr>
          <w:rFonts w:ascii="Open Sans" w:hAnsi="Open Sans" w:cs="Open Sans"/>
        </w:rPr>
        <w:t xml:space="preserve">a formalised </w:t>
      </w:r>
      <w:r w:rsidR="003B31B7">
        <w:rPr>
          <w:rFonts w:ascii="Open Sans" w:hAnsi="Open Sans" w:cs="Open Sans"/>
        </w:rPr>
        <w:t xml:space="preserve">anchor institution </w:t>
      </w:r>
      <w:r>
        <w:rPr>
          <w:rFonts w:ascii="Open Sans" w:hAnsi="Open Sans" w:cs="Open Sans"/>
        </w:rPr>
        <w:t>strategy</w:t>
      </w:r>
      <w:r w:rsidR="003B31B7">
        <w:rPr>
          <w:rFonts w:ascii="Open Sans" w:hAnsi="Open Sans" w:cs="Open Sans"/>
        </w:rPr>
        <w:t xml:space="preserve"> would only be expected to emerge once collaboration had reached an extent to which a network was evident and </w:t>
      </w:r>
      <w:r w:rsidR="00F40C9E">
        <w:rPr>
          <w:rFonts w:ascii="Open Sans" w:hAnsi="Open Sans" w:cs="Open Sans"/>
        </w:rPr>
        <w:t>when</w:t>
      </w:r>
      <w:r w:rsidR="003B31B7">
        <w:rPr>
          <w:rFonts w:ascii="Open Sans" w:hAnsi="Open Sans" w:cs="Open Sans"/>
        </w:rPr>
        <w:t xml:space="preserve"> anchor institution</w:t>
      </w:r>
      <w:r w:rsidR="00F40C9E">
        <w:rPr>
          <w:rFonts w:ascii="Open Sans" w:hAnsi="Open Sans" w:cs="Open Sans"/>
        </w:rPr>
        <w:t>s</w:t>
      </w:r>
      <w:r w:rsidR="003B31B7">
        <w:rPr>
          <w:rFonts w:ascii="Open Sans" w:hAnsi="Open Sans" w:cs="Open Sans"/>
        </w:rPr>
        <w:t xml:space="preserve"> had firmly bought into the concept of community wealth building</w:t>
      </w:r>
      <w:r>
        <w:rPr>
          <w:rFonts w:ascii="Open Sans" w:hAnsi="Open Sans" w:cs="Open Sans"/>
        </w:rPr>
        <w:t xml:space="preserve">. </w:t>
      </w:r>
    </w:p>
    <w:p w:rsidR="00421C47" w:rsidRDefault="00421C47" w:rsidP="00801970">
      <w:pPr>
        <w:pStyle w:val="Heading2"/>
        <w:rPr>
          <w:rFonts w:ascii="Open Sans" w:hAnsi="Open Sans" w:cs="Open Sans"/>
        </w:rPr>
      </w:pPr>
      <w:bookmarkStart w:id="18" w:name="_Toc495660136"/>
      <w:r w:rsidRPr="00801970">
        <w:rPr>
          <w:rFonts w:ascii="Open Sans" w:hAnsi="Open Sans" w:cs="Open Sans"/>
        </w:rPr>
        <w:t>Setting a statement of intent / memorandum of understanding</w:t>
      </w:r>
      <w:bookmarkEnd w:id="18"/>
    </w:p>
    <w:p w:rsidR="00387F64" w:rsidRPr="00C41230" w:rsidRDefault="00BD55B9" w:rsidP="00BC28F5">
      <w:pPr>
        <w:pStyle w:val="BodyText"/>
        <w:rPr>
          <w:rFonts w:ascii="Open Sans" w:hAnsi="Open Sans" w:cs="Open Sans"/>
        </w:rPr>
      </w:pPr>
      <w:bookmarkStart w:id="19" w:name="_Hlk495484631"/>
      <w:r w:rsidRPr="00C41230">
        <w:rPr>
          <w:rFonts w:ascii="Open Sans" w:hAnsi="Open Sans" w:cs="Open Sans"/>
        </w:rPr>
        <w:t>In Preston, one year</w:t>
      </w:r>
      <w:r w:rsidR="003B31B7" w:rsidRPr="00C41230">
        <w:rPr>
          <w:rFonts w:ascii="Open Sans" w:hAnsi="Open Sans" w:cs="Open Sans"/>
        </w:rPr>
        <w:t xml:space="preserve"> into developing the anchor institution network, we </w:t>
      </w:r>
      <w:r w:rsidR="00387F64" w:rsidRPr="00C41230">
        <w:rPr>
          <w:rFonts w:ascii="Open Sans" w:hAnsi="Open Sans" w:cs="Open Sans"/>
        </w:rPr>
        <w:t>develop</w:t>
      </w:r>
      <w:r w:rsidR="003B31B7" w:rsidRPr="00C41230">
        <w:rPr>
          <w:rFonts w:ascii="Open Sans" w:hAnsi="Open Sans" w:cs="Open Sans"/>
        </w:rPr>
        <w:t>ed</w:t>
      </w:r>
      <w:r w:rsidR="00387F64" w:rsidRPr="00C41230">
        <w:rPr>
          <w:rFonts w:ascii="Open Sans" w:hAnsi="Open Sans" w:cs="Open Sans"/>
        </w:rPr>
        <w:t xml:space="preserve"> a statement of intent, </w:t>
      </w:r>
      <w:bookmarkEnd w:id="19"/>
      <w:r w:rsidR="00387F64" w:rsidRPr="00C41230">
        <w:rPr>
          <w:rFonts w:ascii="Open Sans" w:hAnsi="Open Sans" w:cs="Open Sans"/>
        </w:rPr>
        <w:t xml:space="preserve">an overarching vision for the anchor institution strategy </w:t>
      </w:r>
      <w:r w:rsidR="003B31B7" w:rsidRPr="00C41230">
        <w:rPr>
          <w:rFonts w:ascii="Open Sans" w:hAnsi="Open Sans" w:cs="Open Sans"/>
        </w:rPr>
        <w:t xml:space="preserve">which </w:t>
      </w:r>
      <w:r w:rsidR="00387F64" w:rsidRPr="00C41230">
        <w:rPr>
          <w:rFonts w:ascii="Open Sans" w:hAnsi="Open Sans" w:cs="Open Sans"/>
        </w:rPr>
        <w:t xml:space="preserve">was agreed </w:t>
      </w:r>
      <w:r w:rsidR="003B31B7" w:rsidRPr="00C41230">
        <w:rPr>
          <w:rFonts w:ascii="Open Sans" w:hAnsi="Open Sans" w:cs="Open Sans"/>
        </w:rPr>
        <w:t xml:space="preserve">by all institutions and </w:t>
      </w:r>
      <w:r w:rsidR="00387F64" w:rsidRPr="00C41230">
        <w:rPr>
          <w:rFonts w:ascii="Open Sans" w:hAnsi="Open Sans" w:cs="Open Sans"/>
        </w:rPr>
        <w:t>sets out the objective to develop:</w:t>
      </w:r>
    </w:p>
    <w:p w:rsidR="00387F64" w:rsidRPr="00C41230" w:rsidRDefault="00387F64" w:rsidP="00C41230">
      <w:pPr>
        <w:pStyle w:val="ListBullet"/>
        <w:numPr>
          <w:ilvl w:val="0"/>
          <w:numId w:val="0"/>
        </w:numPr>
        <w:ind w:left="1304" w:hanging="584"/>
        <w:jc w:val="left"/>
        <w:rPr>
          <w:rStyle w:val="ColourCharacters"/>
          <w:rFonts w:ascii="Open Sans" w:hAnsi="Open Sans" w:cs="Open Sans"/>
          <w:sz w:val="12"/>
          <w:szCs w:val="12"/>
        </w:rPr>
      </w:pPr>
      <w:r w:rsidRPr="00C41230">
        <w:rPr>
          <w:rStyle w:val="ColourCharacters"/>
          <w:rFonts w:ascii="Open Sans" w:hAnsi="Open Sans" w:cs="Open Sans"/>
        </w:rPr>
        <w:t xml:space="preserve">‘A long-term collaborative commitment to community wealth building </w:t>
      </w:r>
      <w:r w:rsidR="00F40C9E" w:rsidRPr="00C41230">
        <w:rPr>
          <w:rStyle w:val="ColourCharacters"/>
          <w:rFonts w:ascii="Open Sans" w:hAnsi="Open Sans" w:cs="Open Sans"/>
        </w:rPr>
        <w:t>in Lancashire for influenceable</w:t>
      </w:r>
      <w:r w:rsidR="00C41230">
        <w:rPr>
          <w:rStyle w:val="ColourCharacters"/>
          <w:rFonts w:ascii="Open Sans" w:hAnsi="Open Sans" w:cs="Open Sans"/>
        </w:rPr>
        <w:t xml:space="preserve"> </w:t>
      </w:r>
      <w:r w:rsidRPr="00C41230">
        <w:rPr>
          <w:rStyle w:val="ColourCharacters"/>
          <w:rFonts w:ascii="Open Sans" w:hAnsi="Open Sans" w:cs="Open Sans"/>
        </w:rPr>
        <w:t>spend’</w:t>
      </w:r>
      <w:r w:rsidR="003B31B7" w:rsidRPr="00C41230">
        <w:rPr>
          <w:rStyle w:val="ColourCharacters"/>
          <w:rFonts w:ascii="Open Sans" w:hAnsi="Open Sans" w:cs="Open Sans"/>
          <w:sz w:val="12"/>
          <w:szCs w:val="12"/>
        </w:rPr>
        <w:footnoteReference w:id="3"/>
      </w:r>
    </w:p>
    <w:p w:rsidR="00BC28F5" w:rsidRPr="00C41230" w:rsidRDefault="00BC28F5" w:rsidP="00387F64">
      <w:pPr>
        <w:pStyle w:val="ListBullet"/>
        <w:numPr>
          <w:ilvl w:val="0"/>
          <w:numId w:val="0"/>
        </w:numPr>
        <w:rPr>
          <w:rFonts w:ascii="Open Sans" w:hAnsi="Open Sans" w:cs="Open Sans"/>
        </w:rPr>
      </w:pPr>
    </w:p>
    <w:p w:rsidR="00BC28F5" w:rsidRPr="00C41230" w:rsidRDefault="00387F64" w:rsidP="00BC28F5">
      <w:pPr>
        <w:pStyle w:val="BodyText"/>
        <w:rPr>
          <w:rFonts w:ascii="Open Sans" w:hAnsi="Open Sans" w:cs="Open Sans"/>
        </w:rPr>
      </w:pPr>
      <w:r w:rsidRPr="00C41230">
        <w:rPr>
          <w:rFonts w:ascii="Open Sans" w:hAnsi="Open Sans" w:cs="Open Sans"/>
        </w:rPr>
        <w:t xml:space="preserve">This overarching vision was complemented </w:t>
      </w:r>
      <w:r w:rsidR="00F40C9E" w:rsidRPr="00C41230">
        <w:rPr>
          <w:rFonts w:ascii="Open Sans" w:hAnsi="Open Sans" w:cs="Open Sans"/>
        </w:rPr>
        <w:t>by</w:t>
      </w:r>
      <w:r w:rsidRPr="00C41230">
        <w:rPr>
          <w:rFonts w:ascii="Open Sans" w:hAnsi="Open Sans" w:cs="Open Sans"/>
        </w:rPr>
        <w:t xml:space="preserve"> a set of </w:t>
      </w:r>
      <w:r w:rsidR="00F40C9E" w:rsidRPr="00C41230">
        <w:rPr>
          <w:rFonts w:ascii="Open Sans" w:hAnsi="Open Sans" w:cs="Open Sans"/>
        </w:rPr>
        <w:t>six</w:t>
      </w:r>
      <w:r w:rsidRPr="00C41230">
        <w:rPr>
          <w:rFonts w:ascii="Open Sans" w:hAnsi="Open Sans" w:cs="Open Sans"/>
        </w:rPr>
        <w:t xml:space="preserve"> associated objectives</w:t>
      </w:r>
      <w:r w:rsidR="00BC28F5" w:rsidRPr="00C41230">
        <w:rPr>
          <w:rFonts w:ascii="Open Sans" w:hAnsi="Open Sans" w:cs="Open Sans"/>
        </w:rPr>
        <w:t>:</w:t>
      </w:r>
    </w:p>
    <w:p w:rsidR="00BC28F5" w:rsidRPr="00C41230" w:rsidRDefault="00BC28F5" w:rsidP="00387F64">
      <w:pPr>
        <w:pStyle w:val="ListBullet"/>
        <w:numPr>
          <w:ilvl w:val="0"/>
          <w:numId w:val="29"/>
        </w:numPr>
        <w:rPr>
          <w:rFonts w:ascii="Open Sans" w:hAnsi="Open Sans" w:cs="Open Sans"/>
        </w:rPr>
      </w:pPr>
      <w:r w:rsidRPr="00C41230">
        <w:rPr>
          <w:rFonts w:ascii="Open Sans" w:hAnsi="Open Sans" w:cs="Open Sans"/>
        </w:rPr>
        <w:t>To simplify the process of procurement in order to encourage a diversity of organisations to bid for opportunities;</w:t>
      </w:r>
    </w:p>
    <w:p w:rsidR="00BC28F5" w:rsidRPr="00C41230" w:rsidRDefault="00BC28F5" w:rsidP="00387F64">
      <w:pPr>
        <w:pStyle w:val="ListBullet"/>
        <w:numPr>
          <w:ilvl w:val="0"/>
          <w:numId w:val="29"/>
        </w:numPr>
        <w:rPr>
          <w:rFonts w:ascii="Open Sans" w:hAnsi="Open Sans" w:cs="Open Sans"/>
        </w:rPr>
      </w:pPr>
      <w:r w:rsidRPr="00C41230">
        <w:rPr>
          <w:rFonts w:ascii="Open Sans" w:hAnsi="Open Sans" w:cs="Open Sans"/>
        </w:rPr>
        <w:t>To actively reduce levels of spend leaking out of the Preston and Lancashire economies with consideration given on an anchor to anchor basis as to the scale of this reduction;</w:t>
      </w:r>
    </w:p>
    <w:p w:rsidR="00BC28F5" w:rsidRPr="00C41230" w:rsidRDefault="00BC28F5" w:rsidP="00387F64">
      <w:pPr>
        <w:pStyle w:val="ListBullet"/>
        <w:numPr>
          <w:ilvl w:val="0"/>
          <w:numId w:val="29"/>
        </w:numPr>
        <w:rPr>
          <w:rFonts w:ascii="Open Sans" w:hAnsi="Open Sans" w:cs="Open Sans"/>
        </w:rPr>
      </w:pPr>
      <w:r w:rsidRPr="00C41230">
        <w:rPr>
          <w:rFonts w:ascii="Open Sans" w:hAnsi="Open Sans" w:cs="Open Sans"/>
        </w:rPr>
        <w:t>To understand the Preston and wider Lancashire business base in more detail and collectively encourage businesses and social enterprises to bid for opportunities;</w:t>
      </w:r>
    </w:p>
    <w:p w:rsidR="00BC28F5" w:rsidRPr="00C41230" w:rsidRDefault="00BC28F5" w:rsidP="00387F64">
      <w:pPr>
        <w:pStyle w:val="ListBullet"/>
        <w:numPr>
          <w:ilvl w:val="0"/>
          <w:numId w:val="29"/>
        </w:numPr>
        <w:rPr>
          <w:rFonts w:ascii="Open Sans" w:hAnsi="Open Sans" w:cs="Open Sans"/>
        </w:rPr>
      </w:pPr>
      <w:r w:rsidRPr="00C41230">
        <w:rPr>
          <w:rFonts w:ascii="Open Sans" w:hAnsi="Open Sans" w:cs="Open Sans"/>
        </w:rPr>
        <w:t>To develop the capacity of Preston and Lancashire based businesses to bid for opportunities;</w:t>
      </w:r>
    </w:p>
    <w:p w:rsidR="00BC28F5" w:rsidRPr="00C41230" w:rsidRDefault="00BC28F5" w:rsidP="00387F64">
      <w:pPr>
        <w:pStyle w:val="ListBullet"/>
        <w:numPr>
          <w:ilvl w:val="0"/>
          <w:numId w:val="29"/>
        </w:numPr>
        <w:rPr>
          <w:rFonts w:ascii="Open Sans" w:hAnsi="Open Sans" w:cs="Open Sans"/>
        </w:rPr>
      </w:pPr>
      <w:r w:rsidRPr="00C41230">
        <w:rPr>
          <w:rFonts w:ascii="Open Sans" w:hAnsi="Open Sans" w:cs="Open Sans"/>
        </w:rPr>
        <w:t>To collectively raise awareness of procurement opportunities amongst Preston and Lancashire based businesses;</w:t>
      </w:r>
    </w:p>
    <w:p w:rsidR="00BC28F5" w:rsidRPr="00C41230" w:rsidRDefault="00BC28F5" w:rsidP="00387F64">
      <w:pPr>
        <w:pStyle w:val="ListBullet"/>
        <w:numPr>
          <w:ilvl w:val="0"/>
          <w:numId w:val="29"/>
        </w:numPr>
        <w:rPr>
          <w:rFonts w:ascii="Open Sans" w:hAnsi="Open Sans" w:cs="Open Sans"/>
        </w:rPr>
      </w:pPr>
      <w:r w:rsidRPr="00C41230">
        <w:rPr>
          <w:rFonts w:ascii="Open Sans" w:hAnsi="Open Sans" w:cs="Open Sans"/>
        </w:rPr>
        <w:t xml:space="preserve">To identify </w:t>
      </w:r>
      <w:r w:rsidR="00F40C9E" w:rsidRPr="00C41230">
        <w:rPr>
          <w:rFonts w:ascii="Open Sans" w:hAnsi="Open Sans" w:cs="Open Sans"/>
        </w:rPr>
        <w:t xml:space="preserve">goods and </w:t>
      </w:r>
      <w:r w:rsidRPr="00C41230">
        <w:rPr>
          <w:rFonts w:ascii="Open Sans" w:hAnsi="Open Sans" w:cs="Open Sans"/>
        </w:rPr>
        <w:t>services where there is potential for cooperative models of delivery.</w:t>
      </w:r>
    </w:p>
    <w:p w:rsidR="00387F64" w:rsidRPr="00C41230" w:rsidRDefault="00387F64" w:rsidP="00387F64">
      <w:pPr>
        <w:pStyle w:val="ListBullet"/>
        <w:numPr>
          <w:ilvl w:val="0"/>
          <w:numId w:val="0"/>
        </w:numPr>
        <w:ind w:left="1304" w:hanging="584"/>
        <w:rPr>
          <w:rFonts w:ascii="Open Sans" w:hAnsi="Open Sans" w:cs="Open Sans"/>
        </w:rPr>
      </w:pPr>
    </w:p>
    <w:p w:rsidR="00E32767" w:rsidRPr="00C41230" w:rsidRDefault="00387F64" w:rsidP="007C2ED5">
      <w:pPr>
        <w:pStyle w:val="ListBullet"/>
        <w:numPr>
          <w:ilvl w:val="0"/>
          <w:numId w:val="0"/>
        </w:numPr>
        <w:ind w:left="720"/>
        <w:rPr>
          <w:rFonts w:ascii="Open Sans" w:hAnsi="Open Sans" w:cs="Open Sans"/>
        </w:rPr>
      </w:pPr>
      <w:r w:rsidRPr="00C41230">
        <w:rPr>
          <w:rFonts w:ascii="Open Sans" w:hAnsi="Open Sans" w:cs="Open Sans"/>
        </w:rPr>
        <w:t>This was subsequently formalised into a memorandum of understanding, signed by Chief Officers and political leaders in Preston.</w:t>
      </w:r>
      <w:r w:rsidR="003B31B7" w:rsidRPr="00C41230">
        <w:rPr>
          <w:rFonts w:ascii="Open Sans" w:hAnsi="Open Sans" w:cs="Open Sans"/>
        </w:rPr>
        <w:t xml:space="preserve"> </w:t>
      </w:r>
    </w:p>
    <w:p w:rsidR="00BC28F5" w:rsidRPr="00BC28F5" w:rsidRDefault="00BC28F5" w:rsidP="00BC28F5">
      <w:pPr>
        <w:pStyle w:val="ListBullet"/>
        <w:numPr>
          <w:ilvl w:val="0"/>
          <w:numId w:val="0"/>
        </w:numPr>
        <w:ind w:left="720"/>
        <w:rPr>
          <w:rFonts w:ascii="Open Sans" w:hAnsi="Open Sans" w:cs="Open Sans"/>
        </w:rPr>
      </w:pPr>
    </w:p>
    <w:p w:rsidR="00421C47" w:rsidRDefault="00421C47" w:rsidP="00801970">
      <w:pPr>
        <w:pStyle w:val="Heading2"/>
        <w:rPr>
          <w:rFonts w:ascii="Open Sans" w:hAnsi="Open Sans" w:cs="Open Sans"/>
        </w:rPr>
      </w:pPr>
      <w:bookmarkStart w:id="20" w:name="_Toc495660137"/>
      <w:r w:rsidRPr="00801970">
        <w:rPr>
          <w:rFonts w:ascii="Open Sans" w:hAnsi="Open Sans" w:cs="Open Sans"/>
        </w:rPr>
        <w:t>Develop</w:t>
      </w:r>
      <w:r w:rsidR="007C2ED5">
        <w:rPr>
          <w:rFonts w:ascii="Open Sans" w:hAnsi="Open Sans" w:cs="Open Sans"/>
        </w:rPr>
        <w:t>ing</w:t>
      </w:r>
      <w:r w:rsidR="00F40C9E">
        <w:rPr>
          <w:rFonts w:ascii="Open Sans" w:hAnsi="Open Sans" w:cs="Open Sans"/>
        </w:rPr>
        <w:t xml:space="preserve"> an anchor institution action p</w:t>
      </w:r>
      <w:r w:rsidRPr="00801970">
        <w:rPr>
          <w:rFonts w:ascii="Open Sans" w:hAnsi="Open Sans" w:cs="Open Sans"/>
        </w:rPr>
        <w:t>lan</w:t>
      </w:r>
      <w:r w:rsidR="00F40C9E">
        <w:rPr>
          <w:rFonts w:ascii="Open Sans" w:hAnsi="Open Sans" w:cs="Open Sans"/>
        </w:rPr>
        <w:t>/t</w:t>
      </w:r>
      <w:r w:rsidR="001249E6">
        <w:rPr>
          <w:rFonts w:ascii="Open Sans" w:hAnsi="Open Sans" w:cs="Open Sans"/>
        </w:rPr>
        <w:t>oolkit</w:t>
      </w:r>
      <w:bookmarkEnd w:id="20"/>
    </w:p>
    <w:p w:rsidR="00BC28F5" w:rsidRDefault="005921B0" w:rsidP="00A54164">
      <w:pPr>
        <w:pStyle w:val="BodyText"/>
      </w:pPr>
      <w:r>
        <w:rPr>
          <w:rFonts w:ascii="Open Sans" w:hAnsi="Open Sans" w:cs="Open Sans"/>
        </w:rPr>
        <w:t xml:space="preserve">Where a more formal anchor institution network is established there is an opportunity to </w:t>
      </w:r>
      <w:r w:rsidR="00DA1611">
        <w:rPr>
          <w:rFonts w:ascii="Open Sans" w:hAnsi="Open Sans" w:cs="Open Sans"/>
        </w:rPr>
        <w:t>frame and direct activities in an action plan.</w:t>
      </w:r>
      <w:r w:rsidR="007C2ED5">
        <w:rPr>
          <w:rFonts w:ascii="Open Sans" w:hAnsi="Open Sans" w:cs="Open Sans"/>
        </w:rPr>
        <w:t xml:space="preserve"> In</w:t>
      </w:r>
      <w:r w:rsidR="00DA1611">
        <w:rPr>
          <w:rFonts w:ascii="Open Sans" w:hAnsi="Open Sans" w:cs="Open Sans"/>
        </w:rPr>
        <w:t xml:space="preserve"> Preston </w:t>
      </w:r>
      <w:r w:rsidR="007C2ED5">
        <w:rPr>
          <w:rFonts w:ascii="Open Sans" w:hAnsi="Open Sans" w:cs="Open Sans"/>
        </w:rPr>
        <w:t>we</w:t>
      </w:r>
      <w:r w:rsidR="00DA1611">
        <w:rPr>
          <w:rFonts w:ascii="Open Sans" w:hAnsi="Open Sans" w:cs="Open Sans"/>
        </w:rPr>
        <w:t xml:space="preserve"> are now looking to d</w:t>
      </w:r>
      <w:r w:rsidR="00F32C78">
        <w:rPr>
          <w:rFonts w:ascii="Open Sans" w:hAnsi="Open Sans" w:cs="Open Sans"/>
        </w:rPr>
        <w:t>evelop</w:t>
      </w:r>
      <w:r w:rsidR="00A54164" w:rsidRPr="00A54164">
        <w:rPr>
          <w:rFonts w:ascii="Open Sans" w:hAnsi="Open Sans" w:cs="Open Sans"/>
        </w:rPr>
        <w:t xml:space="preserve"> a concrete set of collective</w:t>
      </w:r>
      <w:r w:rsidR="00A54164">
        <w:rPr>
          <w:rFonts w:ascii="Open Sans" w:hAnsi="Open Sans" w:cs="Open Sans"/>
        </w:rPr>
        <w:t xml:space="preserve"> </w:t>
      </w:r>
      <w:r w:rsidR="00A54164" w:rsidRPr="00A54164">
        <w:rPr>
          <w:rFonts w:ascii="Open Sans" w:hAnsi="Open Sans" w:cs="Open Sans"/>
        </w:rPr>
        <w:t>act</w:t>
      </w:r>
      <w:r w:rsidR="001249E6">
        <w:rPr>
          <w:rFonts w:ascii="Open Sans" w:hAnsi="Open Sans" w:cs="Open Sans"/>
        </w:rPr>
        <w:t xml:space="preserve">ions to be developed across </w:t>
      </w:r>
      <w:r w:rsidR="00A54164" w:rsidRPr="00A54164">
        <w:rPr>
          <w:rFonts w:ascii="Open Sans" w:hAnsi="Open Sans" w:cs="Open Sans"/>
        </w:rPr>
        <w:t xml:space="preserve">institutions which will effectively </w:t>
      </w:r>
      <w:r w:rsidR="001249E6">
        <w:rPr>
          <w:rFonts w:ascii="Open Sans" w:hAnsi="Open Sans" w:cs="Open Sans"/>
        </w:rPr>
        <w:t>in</w:t>
      </w:r>
      <w:r w:rsidR="00A54164" w:rsidRPr="00A54164">
        <w:rPr>
          <w:rFonts w:ascii="Open Sans" w:hAnsi="Open Sans" w:cs="Open Sans"/>
        </w:rPr>
        <w:t>form anchor institution</w:t>
      </w:r>
      <w:r w:rsidR="00A54164">
        <w:rPr>
          <w:rFonts w:ascii="Open Sans" w:hAnsi="Open Sans" w:cs="Open Sans"/>
        </w:rPr>
        <w:t xml:space="preserve"> </w:t>
      </w:r>
      <w:r w:rsidR="00A54164" w:rsidRPr="00A54164">
        <w:rPr>
          <w:rFonts w:ascii="Open Sans" w:hAnsi="Open Sans" w:cs="Open Sans"/>
        </w:rPr>
        <w:t>activities going forward.</w:t>
      </w:r>
      <w:r w:rsidR="00A54164">
        <w:t xml:space="preserve"> </w:t>
      </w:r>
    </w:p>
    <w:p w:rsidR="001249E6" w:rsidRDefault="001249E6" w:rsidP="00BC28F5">
      <w:pPr>
        <w:pStyle w:val="BodyText"/>
        <w:rPr>
          <w:rFonts w:ascii="Open Sans" w:hAnsi="Open Sans" w:cs="Open Sans"/>
        </w:rPr>
      </w:pPr>
      <w:r>
        <w:rPr>
          <w:rFonts w:ascii="Open Sans" w:hAnsi="Open Sans" w:cs="Open Sans"/>
        </w:rPr>
        <w:t xml:space="preserve">Given the time we have been working in Preston, it is inevitable that </w:t>
      </w:r>
      <w:r w:rsidR="00F40C9E">
        <w:rPr>
          <w:rFonts w:ascii="Open Sans" w:hAnsi="Open Sans" w:cs="Open Sans"/>
        </w:rPr>
        <w:t xml:space="preserve">some of the </w:t>
      </w:r>
      <w:r>
        <w:rPr>
          <w:rFonts w:ascii="Open Sans" w:hAnsi="Open Sans" w:cs="Open Sans"/>
        </w:rPr>
        <w:t xml:space="preserve">key individuals who have been involved in the work have either changed job roles or have moved on from the organisation, </w:t>
      </w:r>
      <w:r w:rsidR="00BC28F5" w:rsidRPr="00BC28F5">
        <w:rPr>
          <w:rFonts w:ascii="Open Sans" w:hAnsi="Open Sans" w:cs="Open Sans"/>
        </w:rPr>
        <w:t>meaning a new person need</w:t>
      </w:r>
      <w:r>
        <w:rPr>
          <w:rFonts w:ascii="Open Sans" w:hAnsi="Open Sans" w:cs="Open Sans"/>
        </w:rPr>
        <w:t>s to come in and</w:t>
      </w:r>
      <w:r w:rsidR="00BC28F5" w:rsidRPr="00BC28F5">
        <w:rPr>
          <w:rFonts w:ascii="Open Sans" w:hAnsi="Open Sans" w:cs="Open Sans"/>
        </w:rPr>
        <w:t xml:space="preserve"> pick up the activities. This has often meant th</w:t>
      </w:r>
      <w:r w:rsidR="00F40C9E">
        <w:rPr>
          <w:rFonts w:ascii="Open Sans" w:hAnsi="Open Sans" w:cs="Open Sans"/>
        </w:rPr>
        <w:t>at th</w:t>
      </w:r>
      <w:r w:rsidR="00BC28F5" w:rsidRPr="00BC28F5">
        <w:rPr>
          <w:rFonts w:ascii="Open Sans" w:hAnsi="Open Sans" w:cs="Open Sans"/>
        </w:rPr>
        <w:t>e process and journey of the community wealth building need</w:t>
      </w:r>
      <w:r>
        <w:rPr>
          <w:rFonts w:ascii="Open Sans" w:hAnsi="Open Sans" w:cs="Open Sans"/>
        </w:rPr>
        <w:t>s</w:t>
      </w:r>
      <w:r w:rsidR="00BC28F5" w:rsidRPr="00BC28F5">
        <w:rPr>
          <w:rFonts w:ascii="Open Sans" w:hAnsi="Open Sans" w:cs="Open Sans"/>
        </w:rPr>
        <w:t xml:space="preserve"> to be explained again</w:t>
      </w:r>
      <w:r>
        <w:rPr>
          <w:rFonts w:ascii="Open Sans" w:hAnsi="Open Sans" w:cs="Open Sans"/>
        </w:rPr>
        <w:t xml:space="preserve">. </w:t>
      </w:r>
    </w:p>
    <w:p w:rsidR="00BC28F5" w:rsidRPr="00BC28F5" w:rsidRDefault="001249E6" w:rsidP="00BC28F5">
      <w:pPr>
        <w:pStyle w:val="BodyText"/>
        <w:rPr>
          <w:rFonts w:ascii="Open Sans" w:hAnsi="Open Sans" w:cs="Open Sans"/>
        </w:rPr>
      </w:pPr>
      <w:r>
        <w:rPr>
          <w:rFonts w:ascii="Open Sans" w:hAnsi="Open Sans" w:cs="Open Sans"/>
        </w:rPr>
        <w:t>I</w:t>
      </w:r>
      <w:r w:rsidR="00BC28F5" w:rsidRPr="00BC28F5">
        <w:rPr>
          <w:rFonts w:ascii="Open Sans" w:hAnsi="Open Sans" w:cs="Open Sans"/>
        </w:rPr>
        <w:t xml:space="preserve">n </w:t>
      </w:r>
      <w:r>
        <w:rPr>
          <w:rFonts w:ascii="Open Sans" w:hAnsi="Open Sans" w:cs="Open Sans"/>
        </w:rPr>
        <w:t xml:space="preserve">response to this, CLES, </w:t>
      </w:r>
      <w:r w:rsidR="00BC28F5" w:rsidRPr="00BC28F5">
        <w:rPr>
          <w:rFonts w:ascii="Open Sans" w:hAnsi="Open Sans" w:cs="Open Sans"/>
        </w:rPr>
        <w:t>collaboratively with Preston City Council a</w:t>
      </w:r>
      <w:r>
        <w:rPr>
          <w:rFonts w:ascii="Open Sans" w:hAnsi="Open Sans" w:cs="Open Sans"/>
        </w:rPr>
        <w:t>re developing a</w:t>
      </w:r>
      <w:r w:rsidR="00BC28F5" w:rsidRPr="00BC28F5">
        <w:rPr>
          <w:rFonts w:ascii="Open Sans" w:hAnsi="Open Sans" w:cs="Open Sans"/>
        </w:rPr>
        <w:t>n anchor institution toolkit</w:t>
      </w:r>
      <w:r>
        <w:rPr>
          <w:rFonts w:ascii="Open Sans" w:hAnsi="Open Sans" w:cs="Open Sans"/>
        </w:rPr>
        <w:t xml:space="preserve"> which will </w:t>
      </w:r>
      <w:r w:rsidR="00BC28F5" w:rsidRPr="00BC28F5">
        <w:rPr>
          <w:rFonts w:ascii="Open Sans" w:hAnsi="Open Sans" w:cs="Open Sans"/>
        </w:rPr>
        <w:t>summarise the community wealth building initiative to date</w:t>
      </w:r>
      <w:r w:rsidR="00F40C9E">
        <w:rPr>
          <w:rFonts w:ascii="Open Sans" w:hAnsi="Open Sans" w:cs="Open Sans"/>
        </w:rPr>
        <w:t xml:space="preserve">. It will also </w:t>
      </w:r>
      <w:r w:rsidR="00BC28F5" w:rsidRPr="00BC28F5">
        <w:rPr>
          <w:rFonts w:ascii="Open Sans" w:hAnsi="Open Sans" w:cs="Open Sans"/>
        </w:rPr>
        <w:t>explain what individuals and organisations need to do to remain engaged in the process of enhancing and maximising community wealth.</w:t>
      </w:r>
    </w:p>
    <w:p w:rsidR="00421C47" w:rsidRPr="001249E6" w:rsidRDefault="00421C47" w:rsidP="00421C47">
      <w:pPr>
        <w:pStyle w:val="Heading1"/>
        <w:rPr>
          <w:rFonts w:ascii="Open Sans" w:hAnsi="Open Sans" w:cs="Open Sans"/>
        </w:rPr>
      </w:pPr>
      <w:bookmarkStart w:id="21" w:name="_Toc495660138"/>
      <w:r w:rsidRPr="001249E6">
        <w:rPr>
          <w:rFonts w:ascii="Open Sans" w:hAnsi="Open Sans" w:cs="Open Sans"/>
        </w:rPr>
        <w:t>Maximising the potential of Anchor procurement</w:t>
      </w:r>
      <w:bookmarkEnd w:id="21"/>
    </w:p>
    <w:p w:rsidR="009724B0" w:rsidRPr="001249E6" w:rsidRDefault="009724B0" w:rsidP="009724B0">
      <w:pPr>
        <w:pStyle w:val="Heading2"/>
        <w:rPr>
          <w:rFonts w:ascii="Open Sans" w:hAnsi="Open Sans" w:cs="Open Sans"/>
        </w:rPr>
      </w:pPr>
      <w:bookmarkStart w:id="22" w:name="_Toc495660139"/>
      <w:r w:rsidRPr="001249E6">
        <w:rPr>
          <w:rFonts w:ascii="Open Sans" w:hAnsi="Open Sans" w:cs="Open Sans"/>
        </w:rPr>
        <w:t>Analysing procurement spend</w:t>
      </w:r>
      <w:bookmarkEnd w:id="22"/>
    </w:p>
    <w:p w:rsidR="009724B0" w:rsidRDefault="009724B0" w:rsidP="009724B0">
      <w:pPr>
        <w:pStyle w:val="BodyText"/>
        <w:rPr>
          <w:rFonts w:ascii="Open Sans" w:hAnsi="Open Sans" w:cs="Open Sans"/>
        </w:rPr>
      </w:pPr>
      <w:r w:rsidRPr="009724B0">
        <w:rPr>
          <w:rFonts w:ascii="Open Sans" w:hAnsi="Open Sans" w:cs="Open Sans"/>
        </w:rPr>
        <w:t>CLES have analysed procurement spend across many anchor institutions</w:t>
      </w:r>
      <w:r w:rsidR="00F40C9E">
        <w:rPr>
          <w:rFonts w:ascii="Open Sans" w:hAnsi="Open Sans" w:cs="Open Sans"/>
        </w:rPr>
        <w:t>, in various localities</w:t>
      </w:r>
      <w:r w:rsidRPr="009724B0">
        <w:rPr>
          <w:rFonts w:ascii="Open Sans" w:hAnsi="Open Sans" w:cs="Open Sans"/>
        </w:rPr>
        <w:t>, usi</w:t>
      </w:r>
      <w:r w:rsidR="00F11710">
        <w:rPr>
          <w:rFonts w:ascii="Open Sans" w:hAnsi="Open Sans" w:cs="Open Sans"/>
        </w:rPr>
        <w:t xml:space="preserve">ng </w:t>
      </w:r>
      <w:r w:rsidR="002B6337">
        <w:rPr>
          <w:rFonts w:ascii="Open Sans" w:hAnsi="Open Sans" w:cs="Open Sans"/>
        </w:rPr>
        <w:t>different</w:t>
      </w:r>
      <w:r w:rsidR="00F11710">
        <w:rPr>
          <w:rFonts w:ascii="Open Sans" w:hAnsi="Open Sans" w:cs="Open Sans"/>
        </w:rPr>
        <w:t xml:space="preserve"> levels of detail. </w:t>
      </w:r>
      <w:r w:rsidR="002B6337">
        <w:rPr>
          <w:rFonts w:ascii="Open Sans" w:hAnsi="Open Sans" w:cs="Open Sans"/>
        </w:rPr>
        <w:t>However, a</w:t>
      </w:r>
      <w:r w:rsidRPr="009724B0">
        <w:rPr>
          <w:rFonts w:ascii="Open Sans" w:hAnsi="Open Sans" w:cs="Open Sans"/>
        </w:rPr>
        <w:t xml:space="preserve"> typical analysis</w:t>
      </w:r>
      <w:r w:rsidR="00F11710">
        <w:rPr>
          <w:rFonts w:ascii="Open Sans" w:hAnsi="Open Sans" w:cs="Open Sans"/>
        </w:rPr>
        <w:t xml:space="preserve"> involves first identifying </w:t>
      </w:r>
      <w:r w:rsidRPr="009724B0">
        <w:rPr>
          <w:rFonts w:ascii="Open Sans" w:hAnsi="Open Sans" w:cs="Open Sans"/>
        </w:rPr>
        <w:t>the top 300 suppliers (by the value of contr</w:t>
      </w:r>
      <w:r w:rsidR="00F11710">
        <w:rPr>
          <w:rFonts w:ascii="Open Sans" w:hAnsi="Open Sans" w:cs="Open Sans"/>
        </w:rPr>
        <w:t>act) for a given financial year.</w:t>
      </w:r>
    </w:p>
    <w:p w:rsidR="008F404E" w:rsidRPr="008F404E" w:rsidRDefault="008F404E" w:rsidP="008F404E">
      <w:pPr>
        <w:pStyle w:val="Heading3"/>
        <w:rPr>
          <w:rFonts w:ascii="Open Sans" w:hAnsi="Open Sans" w:cs="Open Sans"/>
        </w:rPr>
      </w:pPr>
      <w:bookmarkStart w:id="23" w:name="_Toc495660140"/>
      <w:r w:rsidRPr="008F404E">
        <w:rPr>
          <w:rFonts w:ascii="Open Sans" w:hAnsi="Open Sans" w:cs="Open Sans"/>
        </w:rPr>
        <w:t>Mapping spend</w:t>
      </w:r>
      <w:bookmarkEnd w:id="23"/>
    </w:p>
    <w:p w:rsidR="009724B0" w:rsidRDefault="00F11710" w:rsidP="009724B0">
      <w:pPr>
        <w:pStyle w:val="BodyText"/>
        <w:rPr>
          <w:rFonts w:ascii="Open Sans" w:hAnsi="Open Sans" w:cs="Open Sans"/>
        </w:rPr>
      </w:pPr>
      <w:r>
        <w:rPr>
          <w:rFonts w:ascii="Open Sans" w:hAnsi="Open Sans" w:cs="Open Sans"/>
        </w:rPr>
        <w:t xml:space="preserve">The first stage of analysis requires an </w:t>
      </w:r>
      <w:r w:rsidR="009724B0" w:rsidRPr="009724B0">
        <w:rPr>
          <w:rFonts w:ascii="Open Sans" w:hAnsi="Open Sans" w:cs="Open Sans"/>
        </w:rPr>
        <w:t>understand</w:t>
      </w:r>
      <w:r>
        <w:rPr>
          <w:rFonts w:ascii="Open Sans" w:hAnsi="Open Sans" w:cs="Open Sans"/>
        </w:rPr>
        <w:t>ing of</w:t>
      </w:r>
      <w:r w:rsidR="009724B0" w:rsidRPr="009724B0">
        <w:rPr>
          <w:rFonts w:ascii="Open Sans" w:hAnsi="Open Sans" w:cs="Open Sans"/>
        </w:rPr>
        <w:t xml:space="preserve"> where the supply chain is based in terms of geographical areas of focus, and </w:t>
      </w:r>
      <w:r>
        <w:rPr>
          <w:rFonts w:ascii="Open Sans" w:hAnsi="Open Sans" w:cs="Open Sans"/>
        </w:rPr>
        <w:t>levels of spend within these</w:t>
      </w:r>
      <w:r w:rsidR="009724B0" w:rsidRPr="009724B0">
        <w:rPr>
          <w:rFonts w:ascii="Open Sans" w:hAnsi="Open Sans" w:cs="Open Sans"/>
        </w:rPr>
        <w:t xml:space="preserve"> geographical areas. These areas are typically</w:t>
      </w:r>
      <w:r>
        <w:rPr>
          <w:rFonts w:ascii="Open Sans" w:hAnsi="Open Sans" w:cs="Open Sans"/>
        </w:rPr>
        <w:t xml:space="preserve"> split out into</w:t>
      </w:r>
      <w:r w:rsidR="009724B0" w:rsidRPr="009724B0">
        <w:rPr>
          <w:rFonts w:ascii="Open Sans" w:hAnsi="Open Sans" w:cs="Open Sans"/>
        </w:rPr>
        <w:t xml:space="preserve"> local authority level (i.e. Doncaster) and regional</w:t>
      </w:r>
      <w:r>
        <w:rPr>
          <w:rFonts w:ascii="Open Sans" w:hAnsi="Open Sans" w:cs="Open Sans"/>
        </w:rPr>
        <w:t xml:space="preserve"> or sub regional</w:t>
      </w:r>
      <w:r w:rsidR="009724B0" w:rsidRPr="009724B0">
        <w:rPr>
          <w:rFonts w:ascii="Open Sans" w:hAnsi="Open Sans" w:cs="Open Sans"/>
        </w:rPr>
        <w:t xml:space="preserve"> (i.e. South Yorkshire). To undertake th</w:t>
      </w:r>
      <w:r>
        <w:rPr>
          <w:rFonts w:ascii="Open Sans" w:hAnsi="Open Sans" w:cs="Open Sans"/>
        </w:rPr>
        <w:t>is</w:t>
      </w:r>
      <w:r w:rsidR="009724B0" w:rsidRPr="009724B0">
        <w:rPr>
          <w:rFonts w:ascii="Open Sans" w:hAnsi="Open Sans" w:cs="Open Sans"/>
        </w:rPr>
        <w:t xml:space="preserve"> analysis, CLES cross reference</w:t>
      </w:r>
      <w:r>
        <w:rPr>
          <w:rFonts w:ascii="Open Sans" w:hAnsi="Open Sans" w:cs="Open Sans"/>
        </w:rPr>
        <w:t>s</w:t>
      </w:r>
      <w:r w:rsidR="009724B0" w:rsidRPr="009724B0">
        <w:rPr>
          <w:rFonts w:ascii="Open Sans" w:hAnsi="Open Sans" w:cs="Open Sans"/>
        </w:rPr>
        <w:t xml:space="preserve"> spending totals </w:t>
      </w:r>
      <w:r>
        <w:rPr>
          <w:rFonts w:ascii="Open Sans" w:hAnsi="Open Sans" w:cs="Open Sans"/>
        </w:rPr>
        <w:t>for the analysis period with</w:t>
      </w:r>
      <w:r w:rsidR="009724B0" w:rsidRPr="009724B0">
        <w:rPr>
          <w:rFonts w:ascii="Open Sans" w:hAnsi="Open Sans" w:cs="Open Sans"/>
        </w:rPr>
        <w:t xml:space="preserve"> suppliers and their postcodes</w:t>
      </w:r>
      <w:r w:rsidR="00087D8D">
        <w:rPr>
          <w:rFonts w:ascii="Open Sans" w:hAnsi="Open Sans" w:cs="Open Sans"/>
        </w:rPr>
        <w:t>,</w:t>
      </w:r>
      <w:r w:rsidR="009724B0" w:rsidRPr="009724B0">
        <w:rPr>
          <w:rFonts w:ascii="Open Sans" w:hAnsi="Open Sans" w:cs="Open Sans"/>
        </w:rPr>
        <w:t xml:space="preserve"> against a list of postcodes for each of the geographies of focus. Where </w:t>
      </w:r>
      <w:r w:rsidR="00087D8D">
        <w:rPr>
          <w:rFonts w:ascii="Open Sans" w:hAnsi="Open Sans" w:cs="Open Sans"/>
        </w:rPr>
        <w:t xml:space="preserve">a </w:t>
      </w:r>
      <w:r w:rsidRPr="009724B0">
        <w:rPr>
          <w:rFonts w:ascii="Open Sans" w:hAnsi="Open Sans" w:cs="Open Sans"/>
        </w:rPr>
        <w:t>supplier’s</w:t>
      </w:r>
      <w:r w:rsidR="002B6337">
        <w:rPr>
          <w:rFonts w:ascii="Open Sans" w:hAnsi="Open Sans" w:cs="Open Sans"/>
        </w:rPr>
        <w:t xml:space="preserve"> main postcode is not in </w:t>
      </w:r>
      <w:r w:rsidR="009724B0" w:rsidRPr="009724B0">
        <w:rPr>
          <w:rFonts w:ascii="Open Sans" w:hAnsi="Open Sans" w:cs="Open Sans"/>
        </w:rPr>
        <w:t xml:space="preserve">the geographies of focus, further research </w:t>
      </w:r>
      <w:r>
        <w:rPr>
          <w:rFonts w:ascii="Open Sans" w:hAnsi="Open Sans" w:cs="Open Sans"/>
        </w:rPr>
        <w:t>is undertaken to determine if the supplier</w:t>
      </w:r>
      <w:r w:rsidR="009724B0" w:rsidRPr="009724B0">
        <w:rPr>
          <w:rFonts w:ascii="Open Sans" w:hAnsi="Open Sans" w:cs="Open Sans"/>
        </w:rPr>
        <w:t xml:space="preserve"> ha</w:t>
      </w:r>
      <w:r>
        <w:rPr>
          <w:rFonts w:ascii="Open Sans" w:hAnsi="Open Sans" w:cs="Open Sans"/>
        </w:rPr>
        <w:t>s</w:t>
      </w:r>
      <w:r w:rsidR="009724B0" w:rsidRPr="009724B0">
        <w:rPr>
          <w:rFonts w:ascii="Open Sans" w:hAnsi="Open Sans" w:cs="Open Sans"/>
        </w:rPr>
        <w:t xml:space="preserve"> a local branch or office</w:t>
      </w:r>
      <w:r>
        <w:rPr>
          <w:rFonts w:ascii="Open Sans" w:hAnsi="Open Sans" w:cs="Open Sans"/>
        </w:rPr>
        <w:t>.</w:t>
      </w:r>
    </w:p>
    <w:p w:rsidR="009724B0" w:rsidRPr="009724B0" w:rsidRDefault="008F404E" w:rsidP="008F404E">
      <w:pPr>
        <w:pStyle w:val="BodyText"/>
        <w:rPr>
          <w:rFonts w:ascii="Open Sans" w:hAnsi="Open Sans" w:cs="Open Sans"/>
        </w:rPr>
      </w:pPr>
      <w:r>
        <w:rPr>
          <w:rFonts w:ascii="Open Sans" w:hAnsi="Open Sans" w:cs="Open Sans"/>
        </w:rPr>
        <w:t>Once the supplier geography has been mapped</w:t>
      </w:r>
      <w:r w:rsidR="00087D8D">
        <w:rPr>
          <w:rFonts w:ascii="Open Sans" w:hAnsi="Open Sans" w:cs="Open Sans"/>
        </w:rPr>
        <w:t>,</w:t>
      </w:r>
      <w:r>
        <w:rPr>
          <w:rFonts w:ascii="Open Sans" w:hAnsi="Open Sans" w:cs="Open Sans"/>
        </w:rPr>
        <w:t xml:space="preserve"> </w:t>
      </w:r>
      <w:r w:rsidR="009724B0" w:rsidRPr="009724B0">
        <w:rPr>
          <w:rFonts w:ascii="Open Sans" w:hAnsi="Open Sans" w:cs="Open Sans"/>
        </w:rPr>
        <w:t>analysis</w:t>
      </w:r>
      <w:r>
        <w:rPr>
          <w:rFonts w:ascii="Open Sans" w:hAnsi="Open Sans" w:cs="Open Sans"/>
        </w:rPr>
        <w:t xml:space="preserve"> is</w:t>
      </w:r>
      <w:r w:rsidR="009724B0" w:rsidRPr="009724B0">
        <w:rPr>
          <w:rFonts w:ascii="Open Sans" w:hAnsi="Open Sans" w:cs="Open Sans"/>
        </w:rPr>
        <w:t xml:space="preserve"> </w:t>
      </w:r>
      <w:r w:rsidR="00F11710">
        <w:rPr>
          <w:rFonts w:ascii="Open Sans" w:hAnsi="Open Sans" w:cs="Open Sans"/>
        </w:rPr>
        <w:t>then conducted to establish</w:t>
      </w:r>
      <w:r w:rsidR="009724B0" w:rsidRPr="009724B0">
        <w:rPr>
          <w:rFonts w:ascii="Open Sans" w:hAnsi="Open Sans" w:cs="Open Sans"/>
        </w:rPr>
        <w:t xml:space="preserve"> the ward</w:t>
      </w:r>
      <w:r w:rsidR="00F11710">
        <w:rPr>
          <w:rFonts w:ascii="Open Sans" w:hAnsi="Open Sans" w:cs="Open Sans"/>
        </w:rPr>
        <w:t xml:space="preserve"> and Lower Super Output Area (LSOA)</w:t>
      </w:r>
      <w:r w:rsidR="009724B0" w:rsidRPr="009724B0">
        <w:rPr>
          <w:rFonts w:ascii="Open Sans" w:hAnsi="Open Sans" w:cs="Open Sans"/>
        </w:rPr>
        <w:t xml:space="preserve"> i</w:t>
      </w:r>
      <w:r>
        <w:rPr>
          <w:rFonts w:ascii="Open Sans" w:hAnsi="Open Sans" w:cs="Open Sans"/>
        </w:rPr>
        <w:t>n which each supplier is based</w:t>
      </w:r>
      <w:r w:rsidRPr="008F404E">
        <w:t xml:space="preserve"> </w:t>
      </w:r>
      <w:r w:rsidRPr="008F404E">
        <w:rPr>
          <w:rFonts w:ascii="Open Sans" w:hAnsi="Open Sans" w:cs="Open Sans"/>
        </w:rPr>
        <w:t xml:space="preserve">within the </w:t>
      </w:r>
      <w:r w:rsidR="00087D8D">
        <w:rPr>
          <w:rFonts w:ascii="Open Sans" w:hAnsi="Open Sans" w:cs="Open Sans"/>
        </w:rPr>
        <w:t>local authority or wider region.</w:t>
      </w:r>
      <w:r>
        <w:rPr>
          <w:rFonts w:ascii="Open Sans" w:hAnsi="Open Sans" w:cs="Open Sans"/>
        </w:rPr>
        <w:t xml:space="preserve"> </w:t>
      </w:r>
      <w:r w:rsidR="00087D8D">
        <w:rPr>
          <w:rFonts w:ascii="Open Sans" w:hAnsi="Open Sans" w:cs="Open Sans"/>
        </w:rPr>
        <w:t xml:space="preserve">This </w:t>
      </w:r>
      <w:r>
        <w:rPr>
          <w:rFonts w:ascii="Open Sans" w:hAnsi="Open Sans" w:cs="Open Sans"/>
        </w:rPr>
        <w:t xml:space="preserve">allows us to report </w:t>
      </w:r>
      <w:r w:rsidR="009724B0" w:rsidRPr="009724B0">
        <w:rPr>
          <w:rFonts w:ascii="Open Sans" w:hAnsi="Open Sans" w:cs="Open Sans"/>
        </w:rPr>
        <w:t>the amount of spend with suppliers in areas of deprivation, typically the 20%, 10% and 1% most deprived neighbourhoods in the country (as defined by the I</w:t>
      </w:r>
      <w:r>
        <w:rPr>
          <w:rFonts w:ascii="Open Sans" w:hAnsi="Open Sans" w:cs="Open Sans"/>
        </w:rPr>
        <w:t xml:space="preserve">ndices of Multiple Deprivation). Further analysis is </w:t>
      </w:r>
      <w:r w:rsidR="00087D8D">
        <w:rPr>
          <w:rFonts w:ascii="Open Sans" w:hAnsi="Open Sans" w:cs="Open Sans"/>
        </w:rPr>
        <w:t xml:space="preserve">then </w:t>
      </w:r>
      <w:r>
        <w:rPr>
          <w:rFonts w:ascii="Open Sans" w:hAnsi="Open Sans" w:cs="Open Sans"/>
        </w:rPr>
        <w:t>undertaken of</w:t>
      </w:r>
      <w:r w:rsidR="009724B0" w:rsidRPr="009724B0">
        <w:rPr>
          <w:rFonts w:ascii="Open Sans" w:hAnsi="Open Sans" w:cs="Open Sans"/>
        </w:rPr>
        <w:t xml:space="preserve"> spend with small and medium sized enterprises (SMEs) </w:t>
      </w:r>
      <w:r w:rsidRPr="008F404E">
        <w:rPr>
          <w:rFonts w:ascii="Open Sans" w:hAnsi="Open Sans" w:cs="Open Sans"/>
        </w:rPr>
        <w:t>based within the local authority or wider region</w:t>
      </w:r>
      <w:r>
        <w:rPr>
          <w:rFonts w:ascii="Open Sans" w:hAnsi="Open Sans" w:cs="Open Sans"/>
        </w:rPr>
        <w:t>.</w:t>
      </w:r>
    </w:p>
    <w:p w:rsidR="009724B0" w:rsidRPr="009724B0" w:rsidRDefault="008F404E" w:rsidP="009724B0">
      <w:pPr>
        <w:pStyle w:val="BodyText"/>
        <w:rPr>
          <w:rFonts w:ascii="Open Sans" w:hAnsi="Open Sans" w:cs="Open Sans"/>
        </w:rPr>
      </w:pPr>
      <w:r>
        <w:rPr>
          <w:rFonts w:ascii="Open Sans" w:hAnsi="Open Sans" w:cs="Open Sans"/>
        </w:rPr>
        <w:t xml:space="preserve">This analysis </w:t>
      </w:r>
      <w:r w:rsidRPr="009724B0">
        <w:rPr>
          <w:rFonts w:ascii="Open Sans" w:hAnsi="Open Sans" w:cs="Open Sans"/>
        </w:rPr>
        <w:t>provide</w:t>
      </w:r>
      <w:r>
        <w:rPr>
          <w:rFonts w:ascii="Open Sans" w:hAnsi="Open Sans" w:cs="Open Sans"/>
        </w:rPr>
        <w:t>s</w:t>
      </w:r>
      <w:r w:rsidR="009724B0" w:rsidRPr="009724B0">
        <w:rPr>
          <w:rFonts w:ascii="Open Sans" w:hAnsi="Open Sans" w:cs="Open Sans"/>
        </w:rPr>
        <w:t xml:space="preserve"> institutions with a baseline position and an understanding of where their procurement spend goes</w:t>
      </w:r>
      <w:r w:rsidR="00087D8D">
        <w:rPr>
          <w:rFonts w:ascii="Open Sans" w:hAnsi="Open Sans" w:cs="Open Sans"/>
        </w:rPr>
        <w:t>,</w:t>
      </w:r>
      <w:r w:rsidR="009724B0" w:rsidRPr="009724B0">
        <w:rPr>
          <w:rFonts w:ascii="Open Sans" w:hAnsi="Open Sans" w:cs="Open Sans"/>
        </w:rPr>
        <w:t xml:space="preserve"> </w:t>
      </w:r>
      <w:r w:rsidR="00087D8D" w:rsidRPr="009724B0">
        <w:rPr>
          <w:rFonts w:ascii="Open Sans" w:hAnsi="Open Sans" w:cs="Open Sans"/>
        </w:rPr>
        <w:t>and</w:t>
      </w:r>
      <w:r w:rsidR="009724B0" w:rsidRPr="009724B0">
        <w:rPr>
          <w:rFonts w:ascii="Open Sans" w:hAnsi="Open Sans" w:cs="Open Sans"/>
        </w:rPr>
        <w:t xml:space="preserve"> importantly</w:t>
      </w:r>
      <w:r w:rsidR="00087D8D">
        <w:rPr>
          <w:rFonts w:ascii="Open Sans" w:hAnsi="Open Sans" w:cs="Open Sans"/>
        </w:rPr>
        <w:t>,</w:t>
      </w:r>
      <w:r w:rsidR="009724B0" w:rsidRPr="009724B0">
        <w:rPr>
          <w:rFonts w:ascii="Open Sans" w:hAnsi="Open Sans" w:cs="Open Sans"/>
        </w:rPr>
        <w:t xml:space="preserve"> the extent to which </w:t>
      </w:r>
      <w:r>
        <w:rPr>
          <w:rFonts w:ascii="Open Sans" w:hAnsi="Open Sans" w:cs="Open Sans"/>
        </w:rPr>
        <w:t xml:space="preserve">this spend is currently </w:t>
      </w:r>
      <w:r w:rsidR="009724B0" w:rsidRPr="009724B0">
        <w:rPr>
          <w:rFonts w:ascii="Open Sans" w:hAnsi="Open Sans" w:cs="Open Sans"/>
        </w:rPr>
        <w:t>leak</w:t>
      </w:r>
      <w:r>
        <w:rPr>
          <w:rFonts w:ascii="Open Sans" w:hAnsi="Open Sans" w:cs="Open Sans"/>
        </w:rPr>
        <w:t xml:space="preserve">ing </w:t>
      </w:r>
      <w:r w:rsidR="009724B0" w:rsidRPr="009724B0">
        <w:rPr>
          <w:rFonts w:ascii="Open Sans" w:hAnsi="Open Sans" w:cs="Open Sans"/>
        </w:rPr>
        <w:t>out of the local economy.</w:t>
      </w:r>
    </w:p>
    <w:p w:rsidR="009724B0" w:rsidRPr="008F404E" w:rsidRDefault="009724B0" w:rsidP="008F404E">
      <w:pPr>
        <w:pStyle w:val="Heading3"/>
        <w:rPr>
          <w:rFonts w:ascii="Open Sans" w:hAnsi="Open Sans" w:cs="Open Sans"/>
        </w:rPr>
      </w:pPr>
      <w:bookmarkStart w:id="24" w:name="_Toc495660141"/>
      <w:r w:rsidRPr="008F404E">
        <w:rPr>
          <w:rFonts w:ascii="Open Sans" w:hAnsi="Open Sans" w:cs="Open Sans"/>
        </w:rPr>
        <w:t>Identifying influenceable spend</w:t>
      </w:r>
      <w:bookmarkEnd w:id="24"/>
    </w:p>
    <w:p w:rsidR="008F404E" w:rsidRDefault="008F404E" w:rsidP="009724B0">
      <w:pPr>
        <w:pStyle w:val="BodyText"/>
        <w:rPr>
          <w:rFonts w:ascii="Open Sans" w:hAnsi="Open Sans" w:cs="Open Sans"/>
        </w:rPr>
      </w:pPr>
      <w:r>
        <w:rPr>
          <w:rFonts w:ascii="Open Sans" w:hAnsi="Open Sans" w:cs="Open Sans"/>
        </w:rPr>
        <w:t xml:space="preserve">In addition to mapping spend, we seek to develop an understanding of constraints on spending. In this we are interested in establishing the </w:t>
      </w:r>
      <w:r w:rsidR="009833DF">
        <w:rPr>
          <w:rFonts w:ascii="Open Sans" w:hAnsi="Open Sans" w:cs="Open Sans"/>
        </w:rPr>
        <w:t xml:space="preserve">non-local </w:t>
      </w:r>
      <w:r>
        <w:rPr>
          <w:rFonts w:ascii="Open Sans" w:hAnsi="Open Sans" w:cs="Open Sans"/>
        </w:rPr>
        <w:t>spend that the anchor institution would have a realistic opportunity to influence</w:t>
      </w:r>
      <w:r w:rsidR="009833DF">
        <w:rPr>
          <w:rFonts w:ascii="Open Sans" w:hAnsi="Open Sans" w:cs="Open Sans"/>
        </w:rPr>
        <w:t xml:space="preserve"> (i.e. procure locally)</w:t>
      </w:r>
      <w:r>
        <w:rPr>
          <w:rFonts w:ascii="Open Sans" w:hAnsi="Open Sans" w:cs="Open Sans"/>
        </w:rPr>
        <w:t xml:space="preserve">. </w:t>
      </w:r>
      <w:r w:rsidR="009833DF">
        <w:rPr>
          <w:rFonts w:ascii="Open Sans" w:hAnsi="Open Sans" w:cs="Open Sans"/>
        </w:rPr>
        <w:t>Much of the non-local spend by</w:t>
      </w:r>
      <w:r>
        <w:rPr>
          <w:rFonts w:ascii="Open Sans" w:hAnsi="Open Sans" w:cs="Open Sans"/>
        </w:rPr>
        <w:t xml:space="preserve"> anchor institutions</w:t>
      </w:r>
      <w:r w:rsidR="00163FED">
        <w:rPr>
          <w:rFonts w:ascii="Open Sans" w:hAnsi="Open Sans" w:cs="Open Sans"/>
        </w:rPr>
        <w:t xml:space="preserve"> may be locked into national procurement frameworks, </w:t>
      </w:r>
      <w:r w:rsidR="00163FED" w:rsidRPr="00163FED">
        <w:rPr>
          <w:rFonts w:ascii="Open Sans" w:hAnsi="Open Sans" w:cs="Open Sans"/>
        </w:rPr>
        <w:t>and/or products and services not necessarily</w:t>
      </w:r>
      <w:r w:rsidR="00163FED">
        <w:rPr>
          <w:rFonts w:ascii="Open Sans" w:hAnsi="Open Sans" w:cs="Open Sans"/>
        </w:rPr>
        <w:t xml:space="preserve"> available in the local economy (e.g. a hospital </w:t>
      </w:r>
      <w:r w:rsidR="005912E9">
        <w:rPr>
          <w:rFonts w:ascii="Open Sans" w:hAnsi="Open Sans" w:cs="Open Sans"/>
        </w:rPr>
        <w:t>will</w:t>
      </w:r>
      <w:r w:rsidR="00163FED">
        <w:rPr>
          <w:rFonts w:ascii="Open Sans" w:hAnsi="Open Sans" w:cs="Open Sans"/>
        </w:rPr>
        <w:t xml:space="preserve"> have limited supplier options for specific medi</w:t>
      </w:r>
      <w:r w:rsidR="009833DF">
        <w:rPr>
          <w:rFonts w:ascii="Open Sans" w:hAnsi="Open Sans" w:cs="Open Sans"/>
        </w:rPr>
        <w:t xml:space="preserve">cal equipment), or be subject to long-term contracts. Spend in these categories would be considered as non-influenceable. </w:t>
      </w:r>
    </w:p>
    <w:p w:rsidR="009724B0" w:rsidRDefault="009833DF" w:rsidP="009724B0">
      <w:pPr>
        <w:pStyle w:val="BodyText"/>
        <w:rPr>
          <w:rFonts w:ascii="Open Sans" w:hAnsi="Open Sans" w:cs="Open Sans"/>
        </w:rPr>
      </w:pPr>
      <w:r>
        <w:rPr>
          <w:rFonts w:ascii="Open Sans" w:hAnsi="Open Sans" w:cs="Open Sans"/>
        </w:rPr>
        <w:t>To determine the scale of influenceable spend i</w:t>
      </w:r>
      <w:r w:rsidR="009724B0" w:rsidRPr="009724B0">
        <w:rPr>
          <w:rFonts w:ascii="Open Sans" w:hAnsi="Open Sans" w:cs="Open Sans"/>
        </w:rPr>
        <w:t xml:space="preserve">n practice involves </w:t>
      </w:r>
      <w:r w:rsidR="00163FED">
        <w:rPr>
          <w:rFonts w:ascii="Open Sans" w:hAnsi="Open Sans" w:cs="Open Sans"/>
        </w:rPr>
        <w:t xml:space="preserve">deep </w:t>
      </w:r>
      <w:r w:rsidR="009724B0" w:rsidRPr="009724B0">
        <w:rPr>
          <w:rFonts w:ascii="Open Sans" w:hAnsi="Open Sans" w:cs="Open Sans"/>
        </w:rPr>
        <w:t xml:space="preserve">engagement with </w:t>
      </w:r>
      <w:r w:rsidR="00163FED">
        <w:rPr>
          <w:rFonts w:ascii="Open Sans" w:hAnsi="Open Sans" w:cs="Open Sans"/>
        </w:rPr>
        <w:t xml:space="preserve">individual </w:t>
      </w:r>
      <w:r w:rsidR="009724B0" w:rsidRPr="009724B0">
        <w:rPr>
          <w:rFonts w:ascii="Open Sans" w:hAnsi="Open Sans" w:cs="Open Sans"/>
        </w:rPr>
        <w:t>procur</w:t>
      </w:r>
      <w:r w:rsidR="00163FED">
        <w:rPr>
          <w:rFonts w:ascii="Open Sans" w:hAnsi="Open Sans" w:cs="Open Sans"/>
        </w:rPr>
        <w:t>ement teams to understand more about the spending which is directed outside of the local economy.</w:t>
      </w:r>
      <w:r w:rsidR="009724B0" w:rsidRPr="009724B0">
        <w:rPr>
          <w:rFonts w:ascii="Open Sans" w:hAnsi="Open Sans" w:cs="Open Sans"/>
        </w:rPr>
        <w:t xml:space="preserve"> </w:t>
      </w:r>
    </w:p>
    <w:p w:rsidR="009833DF" w:rsidRDefault="009833DF" w:rsidP="009833DF">
      <w:pPr>
        <w:pStyle w:val="BodyText"/>
        <w:spacing w:line="240" w:lineRule="auto"/>
        <w:rPr>
          <w:rFonts w:ascii="Open Sans" w:hAnsi="Open Sans" w:cs="Open Sans"/>
        </w:rPr>
      </w:pPr>
      <w:bookmarkStart w:id="25" w:name="_Hlk495485219"/>
      <w:r>
        <w:rPr>
          <w:rFonts w:ascii="Open Sans" w:hAnsi="Open Sans" w:cs="Open Sans"/>
        </w:rPr>
        <w:t>The scale and nature of influenceable spend varies according the anchors we work alongside</w:t>
      </w:r>
      <w:r w:rsidR="005E4FDD">
        <w:rPr>
          <w:rFonts w:ascii="Open Sans" w:hAnsi="Open Sans" w:cs="Open Sans"/>
        </w:rPr>
        <w:t xml:space="preserve">. </w:t>
      </w:r>
      <w:r w:rsidR="002B6337">
        <w:rPr>
          <w:rFonts w:ascii="Open Sans" w:hAnsi="Open Sans" w:cs="Open Sans"/>
        </w:rPr>
        <w:t>However, by way of an example,</w:t>
      </w:r>
      <w:r>
        <w:rPr>
          <w:rFonts w:ascii="Open Sans" w:hAnsi="Open Sans" w:cs="Open Sans"/>
        </w:rPr>
        <w:t xml:space="preserve"> the six </w:t>
      </w:r>
      <w:r w:rsidR="002B6337">
        <w:rPr>
          <w:rFonts w:ascii="Open Sans" w:hAnsi="Open Sans" w:cs="Open Sans"/>
        </w:rPr>
        <w:t>participating anchor</w:t>
      </w:r>
      <w:r w:rsidRPr="009833DF">
        <w:rPr>
          <w:rFonts w:ascii="Open Sans" w:hAnsi="Open Sans" w:cs="Open Sans"/>
        </w:rPr>
        <w:t xml:space="preserve"> institutions </w:t>
      </w:r>
      <w:r w:rsidR="002B6337">
        <w:rPr>
          <w:rFonts w:ascii="Open Sans" w:hAnsi="Open Sans" w:cs="Open Sans"/>
        </w:rPr>
        <w:t xml:space="preserve">we worked with </w:t>
      </w:r>
      <w:r>
        <w:rPr>
          <w:rFonts w:ascii="Open Sans" w:hAnsi="Open Sans" w:cs="Open Sans"/>
        </w:rPr>
        <w:t xml:space="preserve">in Preston </w:t>
      </w:r>
      <w:r w:rsidR="002B6337">
        <w:rPr>
          <w:rFonts w:ascii="Open Sans" w:hAnsi="Open Sans" w:cs="Open Sans"/>
        </w:rPr>
        <w:t>spent</w:t>
      </w:r>
      <w:r w:rsidR="005E4FDD">
        <w:rPr>
          <w:rFonts w:ascii="Open Sans" w:hAnsi="Open Sans" w:cs="Open Sans"/>
        </w:rPr>
        <w:t xml:space="preserve"> £98m</w:t>
      </w:r>
      <w:r w:rsidR="002B6337">
        <w:rPr>
          <w:rFonts w:ascii="Open Sans" w:hAnsi="Open Sans" w:cs="Open Sans"/>
        </w:rPr>
        <w:t>illion</w:t>
      </w:r>
      <w:r w:rsidR="005E4FDD">
        <w:rPr>
          <w:rFonts w:ascii="Open Sans" w:hAnsi="Open Sans" w:cs="Open Sans"/>
        </w:rPr>
        <w:t xml:space="preserve"> </w:t>
      </w:r>
      <w:r>
        <w:rPr>
          <w:rFonts w:ascii="Open Sans" w:hAnsi="Open Sans" w:cs="Open Sans"/>
        </w:rPr>
        <w:t>with suppliers based outside of the Lancashire</w:t>
      </w:r>
      <w:r w:rsidR="002B6337">
        <w:rPr>
          <w:rFonts w:ascii="Open Sans" w:hAnsi="Open Sans" w:cs="Open Sans"/>
        </w:rPr>
        <w:t>; of this</w:t>
      </w:r>
      <w:r w:rsidRPr="009833DF">
        <w:rPr>
          <w:rFonts w:ascii="Open Sans" w:hAnsi="Open Sans" w:cs="Open Sans"/>
        </w:rPr>
        <w:t xml:space="preserve"> we estimate</w:t>
      </w:r>
      <w:r>
        <w:rPr>
          <w:rFonts w:ascii="Open Sans" w:hAnsi="Open Sans" w:cs="Open Sans"/>
        </w:rPr>
        <w:t>d</w:t>
      </w:r>
      <w:r w:rsidR="005E4FDD">
        <w:rPr>
          <w:rFonts w:ascii="Open Sans" w:hAnsi="Open Sans" w:cs="Open Sans"/>
        </w:rPr>
        <w:t xml:space="preserve"> that £59m</w:t>
      </w:r>
      <w:r w:rsidR="002B6337">
        <w:rPr>
          <w:rFonts w:ascii="Open Sans" w:hAnsi="Open Sans" w:cs="Open Sans"/>
        </w:rPr>
        <w:t xml:space="preserve"> (60</w:t>
      </w:r>
      <w:r w:rsidRPr="009833DF">
        <w:rPr>
          <w:rFonts w:ascii="Open Sans" w:hAnsi="Open Sans" w:cs="Open Sans"/>
        </w:rPr>
        <w:t xml:space="preserve">%) </w:t>
      </w:r>
      <w:r>
        <w:rPr>
          <w:rFonts w:ascii="Open Sans" w:hAnsi="Open Sans" w:cs="Open Sans"/>
        </w:rPr>
        <w:t>was</w:t>
      </w:r>
      <w:r w:rsidRPr="009833DF">
        <w:rPr>
          <w:rFonts w:ascii="Open Sans" w:hAnsi="Open Sans" w:cs="Open Sans"/>
        </w:rPr>
        <w:t xml:space="preserve"> potentially influenceable.</w:t>
      </w:r>
    </w:p>
    <w:p w:rsidR="00163FED" w:rsidRDefault="00163FED" w:rsidP="00163FED">
      <w:pPr>
        <w:pStyle w:val="Heading3"/>
        <w:rPr>
          <w:rFonts w:ascii="Open Sans" w:hAnsi="Open Sans" w:cs="Open Sans"/>
        </w:rPr>
      </w:pPr>
      <w:bookmarkStart w:id="26" w:name="_Toc495660142"/>
      <w:bookmarkEnd w:id="25"/>
      <w:r w:rsidRPr="00163FED">
        <w:rPr>
          <w:rFonts w:ascii="Open Sans" w:hAnsi="Open Sans" w:cs="Open Sans"/>
        </w:rPr>
        <w:t>Gap analysis</w:t>
      </w:r>
      <w:bookmarkEnd w:id="26"/>
    </w:p>
    <w:p w:rsidR="004272C8" w:rsidRDefault="00163FED" w:rsidP="00163FED">
      <w:pPr>
        <w:pStyle w:val="BodyText"/>
        <w:rPr>
          <w:rFonts w:ascii="Open Sans" w:hAnsi="Open Sans" w:cs="Open Sans"/>
        </w:rPr>
      </w:pPr>
      <w:r>
        <w:rPr>
          <w:rFonts w:ascii="Open Sans" w:hAnsi="Open Sans" w:cs="Open Sans"/>
        </w:rPr>
        <w:t>Bringing together the mapping of spend with an understanding of the extent to which this can be influenced provides a gap analysis</w:t>
      </w:r>
      <w:r w:rsidR="002B6337">
        <w:rPr>
          <w:rFonts w:ascii="Open Sans" w:hAnsi="Open Sans" w:cs="Open Sans"/>
        </w:rPr>
        <w:t>,</w:t>
      </w:r>
      <w:r>
        <w:rPr>
          <w:rFonts w:ascii="Open Sans" w:hAnsi="Open Sans" w:cs="Open Sans"/>
        </w:rPr>
        <w:t xml:space="preserve"> identifying the value of goods and services which could potentially be localised</w:t>
      </w:r>
      <w:r w:rsidR="004272C8">
        <w:rPr>
          <w:rFonts w:ascii="Open Sans" w:hAnsi="Open Sans" w:cs="Open Sans"/>
        </w:rPr>
        <w:t xml:space="preserve">. This gap analysis is conducted along </w:t>
      </w:r>
      <w:r w:rsidRPr="00163FED">
        <w:rPr>
          <w:rFonts w:ascii="Open Sans" w:hAnsi="Open Sans" w:cs="Open Sans"/>
        </w:rPr>
        <w:t>industrial sector</w:t>
      </w:r>
      <w:r w:rsidR="004272C8">
        <w:rPr>
          <w:rFonts w:ascii="Open Sans" w:hAnsi="Open Sans" w:cs="Open Sans"/>
        </w:rPr>
        <w:t xml:space="preserve"> lines to highlight the sectors of the economy that can be targeted for potential suppliers and</w:t>
      </w:r>
      <w:r w:rsidR="004272C8" w:rsidRPr="004272C8">
        <w:t xml:space="preserve"> </w:t>
      </w:r>
      <w:r w:rsidR="004272C8" w:rsidRPr="004272C8">
        <w:rPr>
          <w:rFonts w:ascii="Open Sans" w:hAnsi="Open Sans" w:cs="Open Sans"/>
        </w:rPr>
        <w:t>allow</w:t>
      </w:r>
      <w:r w:rsidR="004272C8">
        <w:rPr>
          <w:rFonts w:ascii="Open Sans" w:hAnsi="Open Sans" w:cs="Open Sans"/>
        </w:rPr>
        <w:t>s</w:t>
      </w:r>
      <w:r w:rsidR="004272C8" w:rsidRPr="004272C8">
        <w:rPr>
          <w:rFonts w:ascii="Open Sans" w:hAnsi="Open Sans" w:cs="Open Sans"/>
        </w:rPr>
        <w:t xml:space="preserve"> institutions to understand where they could be doing more to procure locally</w:t>
      </w:r>
      <w:r w:rsidR="00495FE1">
        <w:rPr>
          <w:rFonts w:ascii="Open Sans" w:hAnsi="Open Sans" w:cs="Open Sans"/>
        </w:rPr>
        <w:t xml:space="preserve"> and throu</w:t>
      </w:r>
      <w:r w:rsidR="002B6337">
        <w:rPr>
          <w:rFonts w:ascii="Open Sans" w:hAnsi="Open Sans" w:cs="Open Sans"/>
        </w:rPr>
        <w:t xml:space="preserve">gh particular types of businesses, </w:t>
      </w:r>
      <w:r w:rsidR="00495FE1">
        <w:rPr>
          <w:rFonts w:ascii="Open Sans" w:hAnsi="Open Sans" w:cs="Open Sans"/>
        </w:rPr>
        <w:t>such as SMEs</w:t>
      </w:r>
      <w:r w:rsidR="004272C8" w:rsidRPr="004272C8">
        <w:rPr>
          <w:rFonts w:ascii="Open Sans" w:hAnsi="Open Sans" w:cs="Open Sans"/>
        </w:rPr>
        <w:t>.</w:t>
      </w:r>
      <w:r w:rsidR="004272C8">
        <w:rPr>
          <w:rFonts w:ascii="Open Sans" w:hAnsi="Open Sans" w:cs="Open Sans"/>
        </w:rPr>
        <w:t xml:space="preserve"> </w:t>
      </w:r>
    </w:p>
    <w:p w:rsidR="009724B0" w:rsidRPr="00163FED" w:rsidRDefault="009724B0" w:rsidP="009724B0">
      <w:pPr>
        <w:pStyle w:val="Heading2"/>
        <w:rPr>
          <w:rFonts w:ascii="Open Sans" w:hAnsi="Open Sans" w:cs="Open Sans"/>
        </w:rPr>
      </w:pPr>
      <w:bookmarkStart w:id="27" w:name="_Toc495660143"/>
      <w:bookmarkStart w:id="28" w:name="_Hlk500419353"/>
      <w:r w:rsidRPr="00163FED">
        <w:rPr>
          <w:rFonts w:ascii="Open Sans" w:hAnsi="Open Sans" w:cs="Open Sans"/>
        </w:rPr>
        <w:t>Identifying local businesses as potential suppliers</w:t>
      </w:r>
      <w:bookmarkEnd w:id="27"/>
    </w:p>
    <w:bookmarkEnd w:id="28"/>
    <w:p w:rsidR="002B6337" w:rsidRDefault="002B6337" w:rsidP="009724B0">
      <w:pPr>
        <w:pStyle w:val="BodyText"/>
        <w:rPr>
          <w:rFonts w:ascii="Open Sans" w:hAnsi="Open Sans" w:cs="Open Sans"/>
        </w:rPr>
      </w:pPr>
      <w:r>
        <w:rPr>
          <w:rFonts w:ascii="Open Sans" w:hAnsi="Open Sans" w:cs="Open Sans"/>
        </w:rPr>
        <w:t>After the gap analysis, t</w:t>
      </w:r>
      <w:r w:rsidR="009724B0" w:rsidRPr="009724B0">
        <w:rPr>
          <w:rFonts w:ascii="Open Sans" w:hAnsi="Open Sans" w:cs="Open Sans"/>
        </w:rPr>
        <w:t xml:space="preserve">he </w:t>
      </w:r>
      <w:r w:rsidR="004272C8">
        <w:rPr>
          <w:rFonts w:ascii="Open Sans" w:hAnsi="Open Sans" w:cs="Open Sans"/>
        </w:rPr>
        <w:t>next stage involves mapping the</w:t>
      </w:r>
      <w:r w:rsidR="00E265B1">
        <w:rPr>
          <w:rFonts w:ascii="Open Sans" w:hAnsi="Open Sans" w:cs="Open Sans"/>
        </w:rPr>
        <w:t xml:space="preserve"> </w:t>
      </w:r>
      <w:r w:rsidR="004272C8">
        <w:rPr>
          <w:rFonts w:ascii="Open Sans" w:hAnsi="Open Sans" w:cs="Open Sans"/>
        </w:rPr>
        <w:t>local business base to identify</w:t>
      </w:r>
      <w:r w:rsidR="009724B0" w:rsidRPr="009724B0">
        <w:rPr>
          <w:rFonts w:ascii="Open Sans" w:hAnsi="Open Sans" w:cs="Open Sans"/>
        </w:rPr>
        <w:t xml:space="preserve"> local businesses (including social enterprises and cooperatives), which could potentially deliver </w:t>
      </w:r>
      <w:r w:rsidR="004272C8">
        <w:rPr>
          <w:rFonts w:ascii="Open Sans" w:hAnsi="Open Sans" w:cs="Open Sans"/>
        </w:rPr>
        <w:t xml:space="preserve">the </w:t>
      </w:r>
      <w:r w:rsidR="009724B0" w:rsidRPr="009724B0">
        <w:rPr>
          <w:rFonts w:ascii="Open Sans" w:hAnsi="Open Sans" w:cs="Open Sans"/>
        </w:rPr>
        <w:t>goods and services</w:t>
      </w:r>
      <w:r w:rsidR="004272C8">
        <w:rPr>
          <w:rFonts w:ascii="Open Sans" w:hAnsi="Open Sans" w:cs="Open Sans"/>
        </w:rPr>
        <w:t xml:space="preserve"> which are currently being procured from outside the local economy</w:t>
      </w:r>
      <w:r w:rsidR="009724B0" w:rsidRPr="009724B0">
        <w:rPr>
          <w:rFonts w:ascii="Open Sans" w:hAnsi="Open Sans" w:cs="Open Sans"/>
        </w:rPr>
        <w:t>.</w:t>
      </w:r>
      <w:r w:rsidR="004272C8">
        <w:rPr>
          <w:rFonts w:ascii="Open Sans" w:hAnsi="Open Sans" w:cs="Open Sans"/>
        </w:rPr>
        <w:t xml:space="preserve"> Again, this analysis is undertaken across industrial sectors to allow for an understanding of where businesses may be able to </w:t>
      </w:r>
      <w:bookmarkStart w:id="29" w:name="_Hlk495485394"/>
      <w:r w:rsidR="004272C8">
        <w:rPr>
          <w:rFonts w:ascii="Open Sans" w:hAnsi="Open Sans" w:cs="Open Sans"/>
        </w:rPr>
        <w:t>diversify their offering to meet local supplier needs.</w:t>
      </w:r>
      <w:r w:rsidR="00C738D1">
        <w:rPr>
          <w:rFonts w:ascii="Open Sans" w:hAnsi="Open Sans" w:cs="Open Sans"/>
        </w:rPr>
        <w:t xml:space="preserve"> </w:t>
      </w:r>
    </w:p>
    <w:p w:rsidR="009724B0" w:rsidRDefault="00C738D1" w:rsidP="009724B0">
      <w:pPr>
        <w:pStyle w:val="BodyText"/>
        <w:rPr>
          <w:rFonts w:ascii="Open Sans" w:hAnsi="Open Sans" w:cs="Open Sans"/>
        </w:rPr>
      </w:pPr>
      <w:r>
        <w:rPr>
          <w:rFonts w:ascii="Open Sans" w:hAnsi="Open Sans" w:cs="Open Sans"/>
        </w:rPr>
        <w:t xml:space="preserve">In Preston, CLES developed a supplier database, which was linked to the gaps and influenceable spend, as described above. This has been used as a means of raising awareness of amongst potential local </w:t>
      </w:r>
      <w:r w:rsidR="002B6337">
        <w:rPr>
          <w:rFonts w:ascii="Open Sans" w:hAnsi="Open Sans" w:cs="Open Sans"/>
        </w:rPr>
        <w:t>supplier</w:t>
      </w:r>
      <w:r>
        <w:rPr>
          <w:rFonts w:ascii="Open Sans" w:hAnsi="Open Sans" w:cs="Open Sans"/>
        </w:rPr>
        <w:t xml:space="preserve">s of upcoming opportunities. For example, Lancashire Constabulary used it to identify the business which now delivers all its printing activities. </w:t>
      </w:r>
      <w:bookmarkEnd w:id="29"/>
    </w:p>
    <w:p w:rsidR="009724B0" w:rsidRPr="00E265B1" w:rsidRDefault="009724B0" w:rsidP="009724B0">
      <w:pPr>
        <w:pStyle w:val="Heading2"/>
        <w:rPr>
          <w:rFonts w:ascii="Open Sans" w:hAnsi="Open Sans" w:cs="Open Sans"/>
        </w:rPr>
      </w:pPr>
      <w:bookmarkStart w:id="30" w:name="_Toc495660144"/>
      <w:r w:rsidRPr="00E265B1">
        <w:rPr>
          <w:rFonts w:ascii="Open Sans" w:hAnsi="Open Sans" w:cs="Open Sans"/>
        </w:rPr>
        <w:t>Developing pre-procurement engagement</w:t>
      </w:r>
      <w:bookmarkEnd w:id="30"/>
    </w:p>
    <w:p w:rsidR="00E265B1" w:rsidRDefault="009724B0" w:rsidP="009724B0">
      <w:pPr>
        <w:pStyle w:val="BodyText"/>
        <w:rPr>
          <w:rFonts w:ascii="Open Sans" w:hAnsi="Open Sans" w:cs="Open Sans"/>
        </w:rPr>
      </w:pPr>
      <w:r w:rsidRPr="009724B0">
        <w:rPr>
          <w:rFonts w:ascii="Open Sans" w:hAnsi="Open Sans" w:cs="Open Sans"/>
        </w:rPr>
        <w:t xml:space="preserve">The </w:t>
      </w:r>
      <w:r w:rsidR="00E265B1">
        <w:rPr>
          <w:rFonts w:ascii="Open Sans" w:hAnsi="Open Sans" w:cs="Open Sans"/>
        </w:rPr>
        <w:t xml:space="preserve">analysis of </w:t>
      </w:r>
      <w:r w:rsidR="002B6337">
        <w:rPr>
          <w:rFonts w:ascii="Open Sans" w:hAnsi="Open Sans" w:cs="Open Sans"/>
        </w:rPr>
        <w:t xml:space="preserve">non-local </w:t>
      </w:r>
      <w:r w:rsidR="00E265B1">
        <w:rPr>
          <w:rFonts w:ascii="Open Sans" w:hAnsi="Open Sans" w:cs="Open Sans"/>
        </w:rPr>
        <w:t>procurement spend against the local business base</w:t>
      </w:r>
      <w:r w:rsidR="00E265B1" w:rsidRPr="00E265B1">
        <w:t xml:space="preserve"> </w:t>
      </w:r>
      <w:r w:rsidR="00E265B1" w:rsidRPr="00E265B1">
        <w:rPr>
          <w:rFonts w:ascii="Open Sans" w:hAnsi="Open Sans" w:cs="Open Sans"/>
        </w:rPr>
        <w:t xml:space="preserve">allows procurers to develop a far greater understanding of potential organisations to engage with prior to a good or service going to formal procurement. </w:t>
      </w:r>
      <w:r w:rsidR="00E265B1">
        <w:rPr>
          <w:rFonts w:ascii="Open Sans" w:hAnsi="Open Sans" w:cs="Open Sans"/>
        </w:rPr>
        <w:t>This analysis supports the development of pre-procurement engagement strategies, allowing institutions to build greater awareness of upcoming</w:t>
      </w:r>
      <w:r w:rsidR="00E265B1" w:rsidRPr="00E265B1">
        <w:rPr>
          <w:rFonts w:ascii="Open Sans" w:hAnsi="Open Sans" w:cs="Open Sans"/>
        </w:rPr>
        <w:t xml:space="preserve"> </w:t>
      </w:r>
      <w:r w:rsidR="00E265B1">
        <w:rPr>
          <w:rFonts w:ascii="Open Sans" w:hAnsi="Open Sans" w:cs="Open Sans"/>
        </w:rPr>
        <w:t xml:space="preserve">supplier </w:t>
      </w:r>
      <w:r w:rsidR="00E265B1" w:rsidRPr="00E265B1">
        <w:rPr>
          <w:rFonts w:ascii="Open Sans" w:hAnsi="Open Sans" w:cs="Open Sans"/>
        </w:rPr>
        <w:t>opportunities</w:t>
      </w:r>
      <w:r w:rsidR="00E265B1">
        <w:rPr>
          <w:rFonts w:ascii="Open Sans" w:hAnsi="Open Sans" w:cs="Open Sans"/>
        </w:rPr>
        <w:t xml:space="preserve"> locally, which then provides a route to understanding of the local business base in terms of </w:t>
      </w:r>
      <w:r w:rsidR="00E265B1" w:rsidRPr="00E265B1">
        <w:rPr>
          <w:rFonts w:ascii="Open Sans" w:hAnsi="Open Sans" w:cs="Open Sans"/>
        </w:rPr>
        <w:t>capability, skills and capacity to bid</w:t>
      </w:r>
      <w:r w:rsidR="002B6337">
        <w:rPr>
          <w:rFonts w:ascii="Open Sans" w:hAnsi="Open Sans" w:cs="Open Sans"/>
        </w:rPr>
        <w:t>,</w:t>
      </w:r>
      <w:r w:rsidR="00E265B1">
        <w:rPr>
          <w:rFonts w:ascii="Open Sans" w:hAnsi="Open Sans" w:cs="Open Sans"/>
        </w:rPr>
        <w:t xml:space="preserve"> and also an avenue for engaging local businesses in business support programmes</w:t>
      </w:r>
      <w:r w:rsidR="00E265B1" w:rsidRPr="00E265B1">
        <w:rPr>
          <w:rFonts w:ascii="Open Sans" w:hAnsi="Open Sans" w:cs="Open Sans"/>
        </w:rPr>
        <w:t>.</w:t>
      </w:r>
      <w:r w:rsidR="00E265B1">
        <w:rPr>
          <w:rFonts w:ascii="Open Sans" w:hAnsi="Open Sans" w:cs="Open Sans"/>
        </w:rPr>
        <w:t xml:space="preserve"> </w:t>
      </w:r>
    </w:p>
    <w:p w:rsidR="00E265B1" w:rsidRDefault="00E265B1" w:rsidP="009724B0">
      <w:pPr>
        <w:pStyle w:val="BodyText"/>
        <w:rPr>
          <w:rFonts w:ascii="Open Sans" w:hAnsi="Open Sans" w:cs="Open Sans"/>
        </w:rPr>
      </w:pPr>
      <w:r>
        <w:rPr>
          <w:rFonts w:ascii="Open Sans" w:hAnsi="Open Sans" w:cs="Open Sans"/>
        </w:rPr>
        <w:t xml:space="preserve">By developing a better understanding of the local business base </w:t>
      </w:r>
      <w:r w:rsidR="002B6337">
        <w:rPr>
          <w:rFonts w:ascii="Open Sans" w:hAnsi="Open Sans" w:cs="Open Sans"/>
        </w:rPr>
        <w:t>within</w:t>
      </w:r>
      <w:r>
        <w:rPr>
          <w:rFonts w:ascii="Open Sans" w:hAnsi="Open Sans" w:cs="Open Sans"/>
        </w:rPr>
        <w:t xml:space="preserve"> anchor institutions, procurement process can then be developed in a way in which local business has a greater opportunity</w:t>
      </w:r>
      <w:r w:rsidR="00C67BB8">
        <w:rPr>
          <w:rFonts w:ascii="Open Sans" w:hAnsi="Open Sans" w:cs="Open Sans"/>
        </w:rPr>
        <w:t xml:space="preserve"> to bid</w:t>
      </w:r>
      <w:r w:rsidR="002B6337">
        <w:rPr>
          <w:rFonts w:ascii="Open Sans" w:hAnsi="Open Sans" w:cs="Open Sans"/>
        </w:rPr>
        <w:t xml:space="preserve"> for</w:t>
      </w:r>
      <w:r w:rsidR="00C67BB8">
        <w:rPr>
          <w:rFonts w:ascii="Open Sans" w:hAnsi="Open Sans" w:cs="Open Sans"/>
        </w:rPr>
        <w:t xml:space="preserve"> and win contracts, keeping spend in the local economy.</w:t>
      </w:r>
      <w:r>
        <w:rPr>
          <w:rFonts w:ascii="Open Sans" w:hAnsi="Open Sans" w:cs="Open Sans"/>
        </w:rPr>
        <w:t xml:space="preserve"> </w:t>
      </w:r>
      <w:r w:rsidR="00C738D1">
        <w:rPr>
          <w:rFonts w:ascii="Open Sans" w:hAnsi="Open Sans" w:cs="Open Sans"/>
        </w:rPr>
        <w:t xml:space="preserve">This can also involve breaking contracts down into smaller lots to enable SMEs in particular to bid. </w:t>
      </w:r>
      <w:r w:rsidR="002B6337">
        <w:rPr>
          <w:rFonts w:ascii="Open Sans" w:hAnsi="Open Sans" w:cs="Open Sans"/>
        </w:rPr>
        <w:t xml:space="preserve">For example, </w:t>
      </w:r>
      <w:r w:rsidR="00C738D1">
        <w:rPr>
          <w:rFonts w:ascii="Open Sans" w:hAnsi="Open Sans" w:cs="Open Sans"/>
        </w:rPr>
        <w:t>Lancashire County Council’s fresh produce contract was previously in one large lot and delivered by a provider which could demonstrate economies of scale</w:t>
      </w:r>
      <w:r w:rsidR="005E4FDD">
        <w:rPr>
          <w:rFonts w:ascii="Open Sans" w:hAnsi="Open Sans" w:cs="Open Sans"/>
        </w:rPr>
        <w:t>,</w:t>
      </w:r>
      <w:r w:rsidR="00C738D1">
        <w:rPr>
          <w:rFonts w:ascii="Open Sans" w:hAnsi="Open Sans" w:cs="Open Sans"/>
        </w:rPr>
        <w:t xml:space="preserve"> because they could produce, package and deliver the produce. Upon re-tendering the contract, it was split into three lots to enable SMEs to bid for activities which met their specialism. There are now local providers delivering each of the individual lots. </w:t>
      </w:r>
    </w:p>
    <w:p w:rsidR="00421C47" w:rsidRPr="00821CA8" w:rsidRDefault="00421C47" w:rsidP="00421C47">
      <w:pPr>
        <w:pStyle w:val="Heading1"/>
        <w:rPr>
          <w:rFonts w:ascii="Open Sans" w:hAnsi="Open Sans" w:cs="Open Sans"/>
        </w:rPr>
      </w:pPr>
      <w:bookmarkStart w:id="31" w:name="_Toc495660145"/>
      <w:r w:rsidRPr="00821CA8">
        <w:rPr>
          <w:rFonts w:ascii="Open Sans" w:hAnsi="Open Sans" w:cs="Open Sans"/>
        </w:rPr>
        <w:t>Maximising the potential of Anchor land &amp; assets</w:t>
      </w:r>
      <w:bookmarkEnd w:id="31"/>
    </w:p>
    <w:p w:rsidR="008022D2" w:rsidRPr="008022D2" w:rsidRDefault="00793973" w:rsidP="008022D2">
      <w:pPr>
        <w:pStyle w:val="BodyText"/>
        <w:rPr>
          <w:rFonts w:ascii="Open Sans" w:hAnsi="Open Sans" w:cs="Open Sans"/>
        </w:rPr>
      </w:pPr>
      <w:r w:rsidRPr="00793973">
        <w:rPr>
          <w:rFonts w:ascii="Open Sans" w:hAnsi="Open Sans" w:cs="Open Sans"/>
        </w:rPr>
        <w:t>It is important that a good local economy is</w:t>
      </w:r>
      <w:r>
        <w:rPr>
          <w:rFonts w:ascii="Open Sans" w:hAnsi="Open Sans" w:cs="Open Sans"/>
        </w:rPr>
        <w:t xml:space="preserve"> </w:t>
      </w:r>
      <w:r w:rsidRPr="00793973">
        <w:rPr>
          <w:rFonts w:ascii="Open Sans" w:hAnsi="Open Sans" w:cs="Open Sans"/>
        </w:rPr>
        <w:t>democratised. By this we mean a plurality of</w:t>
      </w:r>
      <w:r>
        <w:rPr>
          <w:rFonts w:ascii="Open Sans" w:hAnsi="Open Sans" w:cs="Open Sans"/>
        </w:rPr>
        <w:t xml:space="preserve"> </w:t>
      </w:r>
      <w:r w:rsidRPr="00793973">
        <w:rPr>
          <w:rFonts w:ascii="Open Sans" w:hAnsi="Open Sans" w:cs="Open Sans"/>
        </w:rPr>
        <w:t>ownership of public sector assets and activity</w:t>
      </w:r>
      <w:r w:rsidR="002B6337">
        <w:rPr>
          <w:rFonts w:ascii="Open Sans" w:hAnsi="Open Sans" w:cs="Open Sans"/>
        </w:rPr>
        <w:t>,</w:t>
      </w:r>
      <w:r>
        <w:rPr>
          <w:rFonts w:ascii="Open Sans" w:hAnsi="Open Sans" w:cs="Open Sans"/>
        </w:rPr>
        <w:t xml:space="preserve"> and a</w:t>
      </w:r>
      <w:r w:rsidR="00CE0F57" w:rsidRPr="00CE0F57">
        <w:rPr>
          <w:rFonts w:ascii="Open Sans" w:hAnsi="Open Sans" w:cs="Open Sans"/>
        </w:rPr>
        <w:t>nchor institutions</w:t>
      </w:r>
      <w:r w:rsidR="00CE0F57">
        <w:rPr>
          <w:rFonts w:ascii="Open Sans" w:hAnsi="Open Sans" w:cs="Open Sans"/>
        </w:rPr>
        <w:t xml:space="preserve"> can play a key role in creating more successful places by reviewing how their asset portfolios can stimulate the local economy and create social good</w:t>
      </w:r>
      <w:r>
        <w:rPr>
          <w:rFonts w:ascii="Open Sans" w:hAnsi="Open Sans" w:cs="Open Sans"/>
        </w:rPr>
        <w:t xml:space="preserve">. </w:t>
      </w:r>
      <w:r w:rsidR="009F1EFB" w:rsidRPr="009F1EFB">
        <w:rPr>
          <w:rFonts w:ascii="Open Sans" w:hAnsi="Open Sans" w:cs="Open Sans"/>
        </w:rPr>
        <w:t xml:space="preserve">Doncaster has a significant public estate which can be utilised strategically to stimulate a more inclusive local economy via collaboration between anchor institutions, the private sector and the community and voluntary sector. </w:t>
      </w:r>
      <w:r w:rsidR="00CE0F57">
        <w:rPr>
          <w:rFonts w:ascii="Open Sans" w:hAnsi="Open Sans" w:cs="Open Sans"/>
        </w:rPr>
        <w:t xml:space="preserve"> </w:t>
      </w:r>
    </w:p>
    <w:p w:rsidR="00421C47" w:rsidRDefault="00421C47" w:rsidP="00801970">
      <w:pPr>
        <w:pStyle w:val="Heading2"/>
        <w:rPr>
          <w:rFonts w:ascii="Open Sans" w:hAnsi="Open Sans" w:cs="Open Sans"/>
        </w:rPr>
      </w:pPr>
      <w:bookmarkStart w:id="32" w:name="_Toc495660146"/>
      <w:r w:rsidRPr="00801970">
        <w:rPr>
          <w:rFonts w:ascii="Open Sans" w:hAnsi="Open Sans" w:cs="Open Sans"/>
        </w:rPr>
        <w:t>Identifying underutilised assets</w:t>
      </w:r>
      <w:bookmarkEnd w:id="32"/>
    </w:p>
    <w:p w:rsidR="00CE0F57" w:rsidRDefault="00207CA1" w:rsidP="008E038B">
      <w:pPr>
        <w:pStyle w:val="BodyText"/>
        <w:rPr>
          <w:rFonts w:ascii="Open Sans" w:hAnsi="Open Sans" w:cs="Open Sans"/>
        </w:rPr>
      </w:pPr>
      <w:r w:rsidRPr="00207CA1">
        <w:rPr>
          <w:rFonts w:ascii="Open Sans" w:hAnsi="Open Sans" w:cs="Open Sans"/>
        </w:rPr>
        <w:t>The Office of National Statistics estimates the total value of public sector estates to be £380 billion</w:t>
      </w:r>
      <w:r w:rsidR="002B6337">
        <w:rPr>
          <w:rFonts w:ascii="Open Sans" w:hAnsi="Open Sans" w:cs="Open Sans"/>
        </w:rPr>
        <w:t>,</w:t>
      </w:r>
      <w:r w:rsidRPr="00207CA1">
        <w:rPr>
          <w:rFonts w:ascii="Open Sans" w:hAnsi="Open Sans" w:cs="Open Sans"/>
        </w:rPr>
        <w:t xml:space="preserve"> with local authorities accounting for almost £170 billion of the overall figure. Since it launched in 2013, the One Public Estate initiative has seen the Cabinet Office work closely with local government to sell off unwanted land to housing developers, slash maintenance bills </w:t>
      </w:r>
      <w:r w:rsidR="00CE0F57">
        <w:rPr>
          <w:rFonts w:ascii="Open Sans" w:hAnsi="Open Sans" w:cs="Open Sans"/>
        </w:rPr>
        <w:t xml:space="preserve">for institutions </w:t>
      </w:r>
      <w:r w:rsidRPr="00207CA1">
        <w:rPr>
          <w:rFonts w:ascii="Open Sans" w:hAnsi="Open Sans" w:cs="Open Sans"/>
        </w:rPr>
        <w:t xml:space="preserve">and pool resources to make more efficient use of public facilities. </w:t>
      </w:r>
      <w:r w:rsidR="00F77EF4">
        <w:rPr>
          <w:rFonts w:ascii="Open Sans" w:hAnsi="Open Sans" w:cs="Open Sans"/>
        </w:rPr>
        <w:t xml:space="preserve"> </w:t>
      </w:r>
    </w:p>
    <w:p w:rsidR="00207CA1" w:rsidRDefault="00CE0F57" w:rsidP="008E038B">
      <w:pPr>
        <w:pStyle w:val="BodyText"/>
        <w:rPr>
          <w:rFonts w:ascii="Open Sans" w:hAnsi="Open Sans" w:cs="Open Sans"/>
        </w:rPr>
      </w:pPr>
      <w:r w:rsidRPr="00CE0F57">
        <w:rPr>
          <w:rFonts w:ascii="Open Sans" w:hAnsi="Open Sans" w:cs="Open Sans"/>
        </w:rPr>
        <w:t>While there are clear pressures on local authorities to dispose of underutilised assets, an enterprising public sector can however utilise a rationalising of the public estate as a catalyst for stimulating the local economy</w:t>
      </w:r>
      <w:r w:rsidR="002B6337">
        <w:rPr>
          <w:rFonts w:ascii="Open Sans" w:hAnsi="Open Sans" w:cs="Open Sans"/>
        </w:rPr>
        <w:t>,</w:t>
      </w:r>
      <w:r w:rsidRPr="00CE0F57">
        <w:rPr>
          <w:rFonts w:ascii="Open Sans" w:hAnsi="Open Sans" w:cs="Open Sans"/>
        </w:rPr>
        <w:t xml:space="preserve"> by freeing up underused property and land</w:t>
      </w:r>
      <w:r>
        <w:rPr>
          <w:rFonts w:ascii="Open Sans" w:hAnsi="Open Sans" w:cs="Open Sans"/>
        </w:rPr>
        <w:t xml:space="preserve"> for housing and new businesses</w:t>
      </w:r>
      <w:r w:rsidR="002B6337">
        <w:rPr>
          <w:rFonts w:ascii="Open Sans" w:hAnsi="Open Sans" w:cs="Open Sans"/>
        </w:rPr>
        <w:t>,</w:t>
      </w:r>
      <w:r>
        <w:rPr>
          <w:rFonts w:ascii="Open Sans" w:hAnsi="Open Sans" w:cs="Open Sans"/>
        </w:rPr>
        <w:t xml:space="preserve"> or community and voluntary sector activity.</w:t>
      </w:r>
    </w:p>
    <w:p w:rsidR="008E038B" w:rsidRPr="008E038B" w:rsidRDefault="008E038B" w:rsidP="008E038B">
      <w:pPr>
        <w:pStyle w:val="BodyText"/>
        <w:rPr>
          <w:rFonts w:ascii="Open Sans" w:hAnsi="Open Sans" w:cs="Open Sans"/>
        </w:rPr>
      </w:pPr>
      <w:r w:rsidRPr="000A79F2">
        <w:rPr>
          <w:rFonts w:ascii="Open Sans" w:hAnsi="Open Sans" w:cs="Open Sans"/>
        </w:rPr>
        <w:t>In Birmingham, we are seeking to understand and change the behaviour of anchor institutions in relation to wider issues beyond procurement, including how they utilise their assets.</w:t>
      </w:r>
      <w:r w:rsidR="000625A2">
        <w:rPr>
          <w:rFonts w:ascii="Open Sans" w:hAnsi="Open Sans" w:cs="Open Sans"/>
        </w:rPr>
        <w:t xml:space="preserve"> The Queen Elizabeth Hospital in Birmingham (QEHB) for example is making good use of their space within the hospital to provide a food and clothing bank service – the service is </w:t>
      </w:r>
      <w:r w:rsidR="002B6337">
        <w:rPr>
          <w:rFonts w:ascii="Open Sans" w:hAnsi="Open Sans" w:cs="Open Sans"/>
        </w:rPr>
        <w:t>coordinated</w:t>
      </w:r>
      <w:r w:rsidR="000625A2">
        <w:rPr>
          <w:rFonts w:ascii="Open Sans" w:hAnsi="Open Sans" w:cs="Open Sans"/>
        </w:rPr>
        <w:t xml:space="preserve"> by a small local charity</w:t>
      </w:r>
      <w:r w:rsidR="00D26D32">
        <w:rPr>
          <w:rFonts w:ascii="Open Sans" w:hAnsi="Open Sans" w:cs="Open Sans"/>
        </w:rPr>
        <w:t xml:space="preserve"> and staffed with an army of volunteers to provide </w:t>
      </w:r>
      <w:r w:rsidR="002B6337">
        <w:rPr>
          <w:rFonts w:ascii="Open Sans" w:hAnsi="Open Sans" w:cs="Open Sans"/>
        </w:rPr>
        <w:t>for</w:t>
      </w:r>
      <w:r w:rsidR="00D26D32">
        <w:rPr>
          <w:rFonts w:ascii="Open Sans" w:hAnsi="Open Sans" w:cs="Open Sans"/>
        </w:rPr>
        <w:t xml:space="preserve"> patients that may otherwise go hungry or have no clothes other than what is on their back. This partnership between the food and clothing bank and QEHB has made supplies available to people in the most need when they are often at their most vulnerable.</w:t>
      </w:r>
    </w:p>
    <w:p w:rsidR="009F1EFB" w:rsidRPr="009F1EFB" w:rsidRDefault="009F1EFB" w:rsidP="009F1EFB">
      <w:pPr>
        <w:pStyle w:val="Heading2"/>
        <w:rPr>
          <w:rFonts w:ascii="Open Sans" w:hAnsi="Open Sans" w:cs="Open Sans"/>
        </w:rPr>
      </w:pPr>
      <w:bookmarkStart w:id="33" w:name="_Toc495660147"/>
      <w:r w:rsidRPr="009F1EFB">
        <w:rPr>
          <w:rFonts w:ascii="Open Sans" w:hAnsi="Open Sans" w:cs="Open Sans"/>
        </w:rPr>
        <w:t>Planning for community-led development</w:t>
      </w:r>
      <w:bookmarkEnd w:id="33"/>
    </w:p>
    <w:p w:rsidR="009F1EFB" w:rsidRDefault="009F1EFB" w:rsidP="009F1EFB">
      <w:pPr>
        <w:pStyle w:val="BodyText"/>
        <w:rPr>
          <w:rFonts w:ascii="Open Sans" w:hAnsi="Open Sans" w:cs="Open Sans"/>
        </w:rPr>
      </w:pPr>
      <w:r w:rsidRPr="0040664F">
        <w:rPr>
          <w:rFonts w:ascii="Open Sans" w:hAnsi="Open Sans" w:cs="Open Sans"/>
        </w:rPr>
        <w:t>East Cambridgeshire District Council supports community-led development and has a special planning policy (G</w:t>
      </w:r>
      <w:r>
        <w:rPr>
          <w:rFonts w:ascii="Open Sans" w:hAnsi="Open Sans" w:cs="Open Sans"/>
        </w:rPr>
        <w:t xml:space="preserve">rowth 5) that encourages this. </w:t>
      </w:r>
      <w:r w:rsidRPr="0040664F">
        <w:rPr>
          <w:rFonts w:ascii="Open Sans" w:hAnsi="Open Sans" w:cs="Open Sans"/>
        </w:rPr>
        <w:t>The planning policy lets communities bring forward sites in areas close to village or town boundaries which might be outside the normal development envelope. The community decides itself what is appropriate. These sites could include affordable housing, workspaces, community buildings and other amenities. And the project could also include some ‘market housing’ for sale to help pay for the community development if it would otherwise not go ahead. The Council also provides support to anyone thinking of setting up a Community Land Trust with a grant to get started, a loan to provide pre-development finance and a CLT adviser to give advice, guidance and specialist help.</w:t>
      </w:r>
    </w:p>
    <w:p w:rsidR="004828D1" w:rsidRDefault="004828D1" w:rsidP="009F1EFB">
      <w:pPr>
        <w:pStyle w:val="BodyText"/>
        <w:rPr>
          <w:rFonts w:ascii="Open Sans" w:hAnsi="Open Sans" w:cs="Open Sans"/>
        </w:rPr>
      </w:pPr>
      <w:r w:rsidRPr="004828D1">
        <w:rPr>
          <w:rFonts w:ascii="Open Sans" w:hAnsi="Open Sans" w:cs="Open Sans"/>
        </w:rPr>
        <w:t>The ‘community right to bid’ is part of the localism act 2011. Under this piece of legislation communities have the right to nominate a community asset (any local building or land important to them) as ‘an asset of community value’ and if it ever comes up for sale they are given six months to raise the funds to buy it. This allows communities the opportunity to protect locally important community assets such as libraries, community centres and e</w:t>
      </w:r>
      <w:r>
        <w:rPr>
          <w:rFonts w:ascii="Open Sans" w:hAnsi="Open Sans" w:cs="Open Sans"/>
        </w:rPr>
        <w:t>ven parks and football stadiums, but could equally be used to create space for new social or community business activity.</w:t>
      </w:r>
    </w:p>
    <w:p w:rsidR="00421C47" w:rsidRDefault="00421C47" w:rsidP="00801970">
      <w:pPr>
        <w:pStyle w:val="Heading2"/>
        <w:rPr>
          <w:rFonts w:ascii="Open Sans" w:hAnsi="Open Sans" w:cs="Open Sans"/>
        </w:rPr>
      </w:pPr>
      <w:bookmarkStart w:id="34" w:name="_Toc495660148"/>
      <w:r w:rsidRPr="00801970">
        <w:rPr>
          <w:rFonts w:ascii="Open Sans" w:hAnsi="Open Sans" w:cs="Open Sans"/>
        </w:rPr>
        <w:t>Asset Based Community Development</w:t>
      </w:r>
      <w:bookmarkEnd w:id="34"/>
    </w:p>
    <w:p w:rsidR="00021CBF" w:rsidRPr="00C41230" w:rsidRDefault="00F32C19" w:rsidP="00021CBF">
      <w:pPr>
        <w:pStyle w:val="BodyText"/>
        <w:rPr>
          <w:rFonts w:ascii="Open Sans" w:hAnsi="Open Sans" w:cs="Open Sans"/>
        </w:rPr>
      </w:pPr>
      <w:r w:rsidRPr="00C41230">
        <w:rPr>
          <w:rFonts w:ascii="Open Sans" w:hAnsi="Open Sans" w:cs="Open Sans"/>
        </w:rPr>
        <w:t xml:space="preserve">In Birmingham, CLES are supporting Queen Elizabeth Hospital and West Midlands Housing with a review of their asset portfolio‘s. CLES are reviewing  the asset base of Queen Elizabeth Hospital to map and determine the extent to which the hospital is embedded within the local community, to select strategically significant assets to take into the next stage of analysis. CLES are </w:t>
      </w:r>
      <w:r w:rsidR="00FA6A18" w:rsidRPr="00C41230">
        <w:rPr>
          <w:rFonts w:ascii="Open Sans" w:hAnsi="Open Sans" w:cs="Open Sans"/>
        </w:rPr>
        <w:t xml:space="preserve">also </w:t>
      </w:r>
      <w:r w:rsidRPr="00C41230">
        <w:rPr>
          <w:rFonts w:ascii="Open Sans" w:hAnsi="Open Sans" w:cs="Open Sans"/>
        </w:rPr>
        <w:t>review</w:t>
      </w:r>
      <w:r w:rsidR="008C2A8B" w:rsidRPr="00C41230">
        <w:rPr>
          <w:rFonts w:ascii="Open Sans" w:hAnsi="Open Sans" w:cs="Open Sans"/>
        </w:rPr>
        <w:t xml:space="preserve">ing </w:t>
      </w:r>
      <w:r w:rsidRPr="00C41230">
        <w:rPr>
          <w:rFonts w:ascii="Open Sans" w:hAnsi="Open Sans" w:cs="Open Sans"/>
        </w:rPr>
        <w:t>W</w:t>
      </w:r>
      <w:r w:rsidR="008C2A8B" w:rsidRPr="00C41230">
        <w:rPr>
          <w:rFonts w:ascii="Open Sans" w:hAnsi="Open Sans" w:cs="Open Sans"/>
        </w:rPr>
        <w:t xml:space="preserve">est </w:t>
      </w:r>
      <w:r w:rsidRPr="00C41230">
        <w:rPr>
          <w:rFonts w:ascii="Open Sans" w:hAnsi="Open Sans" w:cs="Open Sans"/>
        </w:rPr>
        <w:t>M</w:t>
      </w:r>
      <w:r w:rsidR="008C2A8B" w:rsidRPr="00C41230">
        <w:rPr>
          <w:rFonts w:ascii="Open Sans" w:hAnsi="Open Sans" w:cs="Open Sans"/>
        </w:rPr>
        <w:t>idlands</w:t>
      </w:r>
      <w:r w:rsidRPr="00C41230">
        <w:rPr>
          <w:rFonts w:ascii="Open Sans" w:hAnsi="Open Sans" w:cs="Open Sans"/>
        </w:rPr>
        <w:t xml:space="preserve"> Housing Group’s asset portfolio with a view to identifying and mapping those that have had recent investment. In conjunction with WM Housing Group, CLES will then select a series of improved assets to take into the next stage of analysis.</w:t>
      </w:r>
      <w:r w:rsidR="008C2A8B" w:rsidRPr="00C41230">
        <w:rPr>
          <w:rFonts w:ascii="Open Sans" w:hAnsi="Open Sans" w:cs="Open Sans"/>
        </w:rPr>
        <w:t xml:space="preserve"> </w:t>
      </w:r>
    </w:p>
    <w:p w:rsidR="00207CA1" w:rsidRPr="00C41230" w:rsidRDefault="00FA6A18" w:rsidP="008C2A8B">
      <w:pPr>
        <w:pStyle w:val="BodyText"/>
        <w:rPr>
          <w:rFonts w:ascii="Open Sans" w:hAnsi="Open Sans" w:cs="Open Sans"/>
        </w:rPr>
      </w:pPr>
      <w:bookmarkStart w:id="35" w:name="_Hlk495486121"/>
      <w:r w:rsidRPr="00C41230">
        <w:rPr>
          <w:rFonts w:ascii="Open Sans" w:hAnsi="Open Sans" w:cs="Open Sans"/>
        </w:rPr>
        <w:t xml:space="preserve">In Preston, there has been a movement to use underutilised assets to support cooperatives. One such example is the Birley, this is an exhibition space and artist studios in Preston City Centre. The space is operated as a not for profit, with the space rented from Preston City Council. This space has allowed 12 artists to base themselves locally, and the exhibitions held at the venue are popular with residents and visitors. The development of this project has been aided by collaboration between anchors, the Council (who were keen to see the space utilised) and UCLAN (who recognised that there was a need for a cultural space locally). </w:t>
      </w:r>
    </w:p>
    <w:p w:rsidR="00CE0F57" w:rsidRPr="00CE0F57" w:rsidRDefault="00CE0F57" w:rsidP="00CE0F57">
      <w:pPr>
        <w:pStyle w:val="Heading3"/>
        <w:rPr>
          <w:rFonts w:ascii="Open Sans" w:hAnsi="Open Sans" w:cs="Open Sans"/>
        </w:rPr>
      </w:pPr>
      <w:bookmarkStart w:id="36" w:name="_Toc495660149"/>
      <w:bookmarkEnd w:id="35"/>
      <w:r w:rsidRPr="00CE0F57">
        <w:rPr>
          <w:rFonts w:ascii="Open Sans" w:hAnsi="Open Sans" w:cs="Open Sans"/>
        </w:rPr>
        <w:t>Third sector service delivery</w:t>
      </w:r>
      <w:bookmarkEnd w:id="36"/>
    </w:p>
    <w:p w:rsidR="00540DEB" w:rsidRPr="00540DEB" w:rsidRDefault="00540DEB" w:rsidP="00540DEB">
      <w:pPr>
        <w:pStyle w:val="BodyText"/>
        <w:rPr>
          <w:rFonts w:ascii="Open Sans" w:hAnsi="Open Sans" w:cs="Open Sans"/>
        </w:rPr>
      </w:pPr>
      <w:r w:rsidRPr="00540DEB">
        <w:rPr>
          <w:rFonts w:ascii="Open Sans" w:hAnsi="Open Sans" w:cs="Open Sans"/>
        </w:rPr>
        <w:t>South Tyneside Council is</w:t>
      </w:r>
      <w:r w:rsidR="00FE21D0">
        <w:rPr>
          <w:rFonts w:ascii="Open Sans" w:hAnsi="Open Sans" w:cs="Open Sans"/>
        </w:rPr>
        <w:t xml:space="preserve"> in</w:t>
      </w:r>
      <w:r w:rsidRPr="00540DEB">
        <w:rPr>
          <w:rFonts w:ascii="Open Sans" w:hAnsi="Open Sans" w:cs="Open Sans"/>
        </w:rPr>
        <w:t xml:space="preserve"> the midst of a major programme of community asset transfer which is empowering communities and charity groups to take over the running of local public assets</w:t>
      </w:r>
      <w:r w:rsidR="008C2A8B">
        <w:rPr>
          <w:rStyle w:val="FootnoteReference"/>
          <w:rFonts w:ascii="Open Sans" w:hAnsi="Open Sans" w:cs="Open Sans"/>
        </w:rPr>
        <w:footnoteReference w:id="4"/>
      </w:r>
      <w:r w:rsidR="00511114">
        <w:rPr>
          <w:rFonts w:ascii="Open Sans" w:hAnsi="Open Sans" w:cs="Open Sans"/>
        </w:rPr>
        <w:t>.</w:t>
      </w:r>
      <w:r w:rsidRPr="00540DEB">
        <w:rPr>
          <w:rFonts w:ascii="Open Sans" w:hAnsi="Open Sans" w:cs="Open Sans"/>
        </w:rPr>
        <w:t xml:space="preserve"> </w:t>
      </w:r>
      <w:r w:rsidR="00511114">
        <w:rPr>
          <w:rFonts w:ascii="Open Sans" w:hAnsi="Open Sans" w:cs="Open Sans"/>
        </w:rPr>
        <w:t>12</w:t>
      </w:r>
      <w:r w:rsidR="0040664F">
        <w:rPr>
          <w:rFonts w:ascii="Open Sans" w:hAnsi="Open Sans" w:cs="Open Sans"/>
        </w:rPr>
        <w:t xml:space="preserve"> </w:t>
      </w:r>
      <w:r w:rsidRPr="00540DEB">
        <w:rPr>
          <w:rFonts w:ascii="Open Sans" w:hAnsi="Open Sans" w:cs="Open Sans"/>
        </w:rPr>
        <w:t xml:space="preserve">formerly Council-run community associations </w:t>
      </w:r>
      <w:r w:rsidR="008C2A8B">
        <w:rPr>
          <w:rFonts w:ascii="Open Sans" w:hAnsi="Open Sans" w:cs="Open Sans"/>
        </w:rPr>
        <w:t xml:space="preserve">are </w:t>
      </w:r>
      <w:r w:rsidRPr="00540DEB">
        <w:rPr>
          <w:rFonts w:ascii="Open Sans" w:hAnsi="Open Sans" w:cs="Open Sans"/>
        </w:rPr>
        <w:t xml:space="preserve">currently being supported to draw up business plans and begin the process of being transferred directly into the hands of the local people who use them. </w:t>
      </w:r>
    </w:p>
    <w:p w:rsidR="00540DEB" w:rsidRDefault="00540DEB" w:rsidP="008C2A8B">
      <w:pPr>
        <w:pStyle w:val="BodyText"/>
        <w:rPr>
          <w:rFonts w:ascii="Open Sans" w:hAnsi="Open Sans" w:cs="Open Sans"/>
        </w:rPr>
      </w:pPr>
      <w:r w:rsidRPr="00540DEB">
        <w:rPr>
          <w:rFonts w:ascii="Open Sans" w:hAnsi="Open Sans" w:cs="Open Sans"/>
        </w:rPr>
        <w:t xml:space="preserve">A community interest company was formed at South Tyneside Gymnastics Centre which has more than 500 regular users and has seen investment in the building as well as an expansion of activities. Mortimer Community Network Community Interest Company (CIC), which took over Mortimer Community Centre, has improved the facility, maintained and developed the childcare facilities, extensively renovated the childcare room, created their own entrance and café and </w:t>
      </w:r>
      <w:r w:rsidRPr="0040664F">
        <w:rPr>
          <w:rFonts w:ascii="Open Sans" w:hAnsi="Open Sans" w:cs="Open Sans"/>
        </w:rPr>
        <w:t>created ten new jobs.</w:t>
      </w:r>
    </w:p>
    <w:p w:rsidR="00421C47" w:rsidRDefault="00421C47" w:rsidP="00801970">
      <w:pPr>
        <w:pStyle w:val="Heading2"/>
        <w:rPr>
          <w:rFonts w:ascii="Open Sans" w:hAnsi="Open Sans" w:cs="Open Sans"/>
        </w:rPr>
      </w:pPr>
      <w:bookmarkStart w:id="37" w:name="_Toc495660150"/>
      <w:r w:rsidRPr="00801970">
        <w:rPr>
          <w:rFonts w:ascii="Open Sans" w:hAnsi="Open Sans" w:cs="Open Sans"/>
        </w:rPr>
        <w:t>Community Land Trusts</w:t>
      </w:r>
      <w:bookmarkEnd w:id="37"/>
    </w:p>
    <w:p w:rsidR="0040664F" w:rsidRDefault="00F77C6D" w:rsidP="0040664F">
      <w:pPr>
        <w:pStyle w:val="BodyText"/>
        <w:rPr>
          <w:rFonts w:ascii="Open Sans" w:hAnsi="Open Sans" w:cs="Open Sans"/>
        </w:rPr>
      </w:pPr>
      <w:r w:rsidRPr="00F77C6D">
        <w:rPr>
          <w:rFonts w:ascii="Open Sans" w:hAnsi="Open Sans" w:cs="Open Sans"/>
        </w:rPr>
        <w:t>As house prices grow faster than incomes</w:t>
      </w:r>
      <w:r w:rsidR="00511114">
        <w:rPr>
          <w:rFonts w:ascii="Open Sans" w:hAnsi="Open Sans" w:cs="Open Sans"/>
        </w:rPr>
        <w:t>,</w:t>
      </w:r>
      <w:r w:rsidRPr="00F77C6D">
        <w:rPr>
          <w:rFonts w:ascii="Open Sans" w:hAnsi="Open Sans" w:cs="Open Sans"/>
        </w:rPr>
        <w:t xml:space="preserve"> the cost of subsiding affordable housing continues to grow. Community Land Trusts (CLT’s) are </w:t>
      </w:r>
      <w:r>
        <w:rPr>
          <w:rFonts w:ascii="Open Sans" w:hAnsi="Open Sans" w:cs="Open Sans"/>
        </w:rPr>
        <w:t xml:space="preserve">an </w:t>
      </w:r>
      <w:r w:rsidRPr="00F77C6D">
        <w:rPr>
          <w:rFonts w:ascii="Open Sans" w:hAnsi="Open Sans" w:cs="Open Sans"/>
        </w:rPr>
        <w:t xml:space="preserve">innovative way of developing affordable housing that remains affordable in perpetuity. </w:t>
      </w:r>
      <w:r>
        <w:rPr>
          <w:rFonts w:ascii="Open Sans" w:hAnsi="Open Sans" w:cs="Open Sans"/>
        </w:rPr>
        <w:t>A</w:t>
      </w:r>
      <w:r w:rsidRPr="00F77C6D">
        <w:rPr>
          <w:rFonts w:ascii="Open Sans" w:hAnsi="Open Sans" w:cs="Open Sans"/>
        </w:rPr>
        <w:t xml:space="preserve"> CLT </w:t>
      </w:r>
      <w:r>
        <w:rPr>
          <w:rFonts w:ascii="Open Sans" w:hAnsi="Open Sans" w:cs="Open Sans"/>
        </w:rPr>
        <w:t xml:space="preserve">will often receive an </w:t>
      </w:r>
      <w:r w:rsidRPr="00F77C6D">
        <w:rPr>
          <w:rFonts w:ascii="Open Sans" w:hAnsi="Open Sans" w:cs="Open Sans"/>
        </w:rPr>
        <w:t>initial subsidy in one form or another; be it free land, or financial grants from government, charities or benefactors. Once properties have been built, the land on which they are built is protected from fluctuations in land market val</w:t>
      </w:r>
      <w:r>
        <w:rPr>
          <w:rFonts w:ascii="Open Sans" w:hAnsi="Open Sans" w:cs="Open Sans"/>
        </w:rPr>
        <w:t xml:space="preserve">uations by a legal ‘asset lock’. </w:t>
      </w:r>
      <w:r w:rsidRPr="00F77C6D">
        <w:rPr>
          <w:rFonts w:ascii="Open Sans" w:hAnsi="Open Sans" w:cs="Open Sans"/>
        </w:rPr>
        <w:t>CLTs act as long-term stewards of housing, ensuring that it remains genuinely affordable, providing housing based on what people actually earn in their area.</w:t>
      </w:r>
    </w:p>
    <w:p w:rsidR="0040664F" w:rsidRPr="0040664F" w:rsidRDefault="00486A9F" w:rsidP="00486A9F">
      <w:pPr>
        <w:pStyle w:val="BodyText"/>
        <w:rPr>
          <w:rFonts w:ascii="Open Sans" w:hAnsi="Open Sans" w:cs="Open Sans"/>
        </w:rPr>
      </w:pPr>
      <w:r>
        <w:rPr>
          <w:rFonts w:ascii="Open Sans" w:hAnsi="Open Sans" w:cs="Open Sans"/>
        </w:rPr>
        <w:t xml:space="preserve">CLT’s operate in both urban and rural areas, and can work in areas of high or low housing demand. </w:t>
      </w:r>
      <w:r w:rsidR="0040664F">
        <w:rPr>
          <w:rFonts w:ascii="Open Sans" w:hAnsi="Open Sans" w:cs="Open Sans"/>
        </w:rPr>
        <w:t>Granby 4 Streets</w:t>
      </w:r>
      <w:r w:rsidR="0040664F">
        <w:rPr>
          <w:rStyle w:val="FootnoteReference"/>
          <w:rFonts w:ascii="Open Sans" w:hAnsi="Open Sans" w:cs="Open Sans"/>
        </w:rPr>
        <w:footnoteReference w:id="5"/>
      </w:r>
      <w:r w:rsidR="0040664F">
        <w:rPr>
          <w:rFonts w:ascii="Open Sans" w:hAnsi="Open Sans" w:cs="Open Sans"/>
        </w:rPr>
        <w:t xml:space="preserve"> i</w:t>
      </w:r>
      <w:r w:rsidR="0040664F" w:rsidRPr="0040664F">
        <w:rPr>
          <w:rFonts w:ascii="Open Sans" w:hAnsi="Open Sans" w:cs="Open Sans"/>
        </w:rPr>
        <w:t xml:space="preserve">n Toxteth, </w:t>
      </w:r>
      <w:r>
        <w:rPr>
          <w:rFonts w:ascii="Open Sans" w:hAnsi="Open Sans" w:cs="Open Sans"/>
        </w:rPr>
        <w:t xml:space="preserve">inner city </w:t>
      </w:r>
      <w:r w:rsidR="00F77C6D">
        <w:rPr>
          <w:rFonts w:ascii="Open Sans" w:hAnsi="Open Sans" w:cs="Open Sans"/>
        </w:rPr>
        <w:t xml:space="preserve">Liverpool was established by </w:t>
      </w:r>
      <w:r w:rsidR="0040664F" w:rsidRPr="0040664F">
        <w:rPr>
          <w:rFonts w:ascii="Open Sans" w:hAnsi="Open Sans" w:cs="Open Sans"/>
        </w:rPr>
        <w:t>residents living in houses set for demolition</w:t>
      </w:r>
      <w:r w:rsidR="00F77C6D">
        <w:rPr>
          <w:rFonts w:ascii="Open Sans" w:hAnsi="Open Sans" w:cs="Open Sans"/>
        </w:rPr>
        <w:t xml:space="preserve">. They </w:t>
      </w:r>
      <w:r w:rsidR="0040664F" w:rsidRPr="0040664F">
        <w:rPr>
          <w:rFonts w:ascii="Open Sans" w:hAnsi="Open Sans" w:cs="Open Sans"/>
        </w:rPr>
        <w:t>began sweeping the streets and putting out pot plants</w:t>
      </w:r>
      <w:r w:rsidR="00F77C6D">
        <w:rPr>
          <w:rFonts w:ascii="Open Sans" w:hAnsi="Open Sans" w:cs="Open Sans"/>
        </w:rPr>
        <w:t xml:space="preserve"> to prevent their streets from falling into decline in the midst of increasing property vacancy</w:t>
      </w:r>
      <w:r w:rsidR="0040664F" w:rsidRPr="0040664F">
        <w:rPr>
          <w:rFonts w:ascii="Open Sans" w:hAnsi="Open Sans" w:cs="Open Sans"/>
        </w:rPr>
        <w:t xml:space="preserve">. Then they formed a group, set up a street market, and eventually created a </w:t>
      </w:r>
      <w:r w:rsidR="00F77C6D">
        <w:rPr>
          <w:rFonts w:ascii="Open Sans" w:hAnsi="Open Sans" w:cs="Open Sans"/>
        </w:rPr>
        <w:t>CLT</w:t>
      </w:r>
      <w:r w:rsidR="0040664F" w:rsidRPr="0040664F">
        <w:rPr>
          <w:rFonts w:ascii="Open Sans" w:hAnsi="Open Sans" w:cs="Open Sans"/>
        </w:rPr>
        <w:t xml:space="preserve"> to take over ownership of the houses themselves. </w:t>
      </w:r>
    </w:p>
    <w:p w:rsidR="0040664F" w:rsidRPr="0040664F" w:rsidRDefault="0040664F" w:rsidP="0040664F">
      <w:pPr>
        <w:pStyle w:val="BodyText"/>
        <w:rPr>
          <w:rFonts w:ascii="Open Sans" w:hAnsi="Open Sans" w:cs="Open Sans"/>
        </w:rPr>
      </w:pPr>
      <w:r w:rsidRPr="0040664F">
        <w:rPr>
          <w:rFonts w:ascii="Open Sans" w:hAnsi="Open Sans" w:cs="Open Sans"/>
        </w:rPr>
        <w:t>Homes for Holswor</w:t>
      </w:r>
      <w:r>
        <w:rPr>
          <w:rFonts w:ascii="Open Sans" w:hAnsi="Open Sans" w:cs="Open Sans"/>
        </w:rPr>
        <w:t>thy Community Land Trust</w:t>
      </w:r>
      <w:r w:rsidR="00486A9F">
        <w:rPr>
          <w:rStyle w:val="FootnoteReference"/>
          <w:rFonts w:ascii="Open Sans" w:hAnsi="Open Sans" w:cs="Open Sans"/>
        </w:rPr>
        <w:footnoteReference w:id="6"/>
      </w:r>
      <w:r>
        <w:rPr>
          <w:rFonts w:ascii="Open Sans" w:hAnsi="Open Sans" w:cs="Open Sans"/>
        </w:rPr>
        <w:t xml:space="preserve"> </w:t>
      </w:r>
      <w:r w:rsidRPr="0040664F">
        <w:rPr>
          <w:rFonts w:ascii="Open Sans" w:hAnsi="Open Sans" w:cs="Open Sans"/>
        </w:rPr>
        <w:t>in the village</w:t>
      </w:r>
      <w:r>
        <w:rPr>
          <w:rFonts w:ascii="Open Sans" w:hAnsi="Open Sans" w:cs="Open Sans"/>
        </w:rPr>
        <w:t xml:space="preserve"> </w:t>
      </w:r>
      <w:r w:rsidRPr="0040664F">
        <w:rPr>
          <w:rFonts w:ascii="Open Sans" w:hAnsi="Open Sans" w:cs="Open Sans"/>
        </w:rPr>
        <w:t>of Holsworthy, Devon</w:t>
      </w:r>
      <w:r w:rsidR="00486A9F">
        <w:rPr>
          <w:rFonts w:ascii="Open Sans" w:hAnsi="Open Sans" w:cs="Open Sans"/>
        </w:rPr>
        <w:t xml:space="preserve"> was established to help </w:t>
      </w:r>
      <w:r w:rsidR="00486A9F" w:rsidRPr="00486A9F">
        <w:rPr>
          <w:rFonts w:ascii="Open Sans" w:hAnsi="Open Sans" w:cs="Open Sans"/>
        </w:rPr>
        <w:t>people to stay in the</w:t>
      </w:r>
      <w:r w:rsidR="00486A9F">
        <w:rPr>
          <w:rFonts w:ascii="Open Sans" w:hAnsi="Open Sans" w:cs="Open Sans"/>
        </w:rPr>
        <w:t xml:space="preserve"> village and</w:t>
      </w:r>
      <w:r w:rsidR="00486A9F" w:rsidRPr="00486A9F">
        <w:rPr>
          <w:rFonts w:ascii="Open Sans" w:hAnsi="Open Sans" w:cs="Open Sans"/>
        </w:rPr>
        <w:t xml:space="preserve"> enable them to contribute to preserving </w:t>
      </w:r>
      <w:r w:rsidR="00486A9F">
        <w:rPr>
          <w:rFonts w:ascii="Open Sans" w:hAnsi="Open Sans" w:cs="Open Sans"/>
        </w:rPr>
        <w:t>the</w:t>
      </w:r>
      <w:r w:rsidR="00486A9F" w:rsidRPr="00486A9F">
        <w:rPr>
          <w:rFonts w:ascii="Open Sans" w:hAnsi="Open Sans" w:cs="Open Sans"/>
        </w:rPr>
        <w:t xml:space="preserve"> communities rural way of life.</w:t>
      </w:r>
      <w:r w:rsidRPr="0040664F">
        <w:rPr>
          <w:rFonts w:ascii="Open Sans" w:hAnsi="Open Sans" w:cs="Open Sans"/>
        </w:rPr>
        <w:t xml:space="preserve"> </w:t>
      </w:r>
      <w:r w:rsidR="00486A9F" w:rsidRPr="00486A9F">
        <w:rPr>
          <w:rFonts w:ascii="Open Sans" w:hAnsi="Open Sans" w:cs="Open Sans"/>
        </w:rPr>
        <w:t>Pressure for retirement and second homes has helped push up t</w:t>
      </w:r>
      <w:r w:rsidR="00486A9F">
        <w:rPr>
          <w:rFonts w:ascii="Open Sans" w:hAnsi="Open Sans" w:cs="Open Sans"/>
        </w:rPr>
        <w:t>he average price in the</w:t>
      </w:r>
      <w:r w:rsidR="00486A9F" w:rsidRPr="00486A9F">
        <w:rPr>
          <w:rFonts w:ascii="Open Sans" w:hAnsi="Open Sans" w:cs="Open Sans"/>
        </w:rPr>
        <w:t xml:space="preserve"> area to nearly 13 times the typical local family earnings.</w:t>
      </w:r>
      <w:r w:rsidR="00486A9F">
        <w:rPr>
          <w:rFonts w:ascii="Open Sans" w:hAnsi="Open Sans" w:cs="Open Sans"/>
        </w:rPr>
        <w:t xml:space="preserve"> </w:t>
      </w:r>
      <w:r w:rsidR="00486A9F" w:rsidRPr="00486A9F">
        <w:rPr>
          <w:rFonts w:ascii="Open Sans" w:hAnsi="Open Sans" w:cs="Open Sans"/>
        </w:rPr>
        <w:t>They have built or renovated 15 homes in the village of Holsworthy and surrounding areas</w:t>
      </w:r>
      <w:r w:rsidR="00486A9F">
        <w:rPr>
          <w:rFonts w:ascii="Open Sans" w:hAnsi="Open Sans" w:cs="Open Sans"/>
        </w:rPr>
        <w:t xml:space="preserve"> and use </w:t>
      </w:r>
      <w:r w:rsidRPr="0040664F">
        <w:rPr>
          <w:rFonts w:ascii="Open Sans" w:hAnsi="Open Sans" w:cs="Open Sans"/>
        </w:rPr>
        <w:t>a shared equity model when sel</w:t>
      </w:r>
      <w:r w:rsidR="00486A9F">
        <w:rPr>
          <w:rFonts w:ascii="Open Sans" w:hAnsi="Open Sans" w:cs="Open Sans"/>
        </w:rPr>
        <w:t>ling homes to young people; which</w:t>
      </w:r>
      <w:r w:rsidRPr="0040664F">
        <w:rPr>
          <w:rFonts w:ascii="Open Sans" w:hAnsi="Open Sans" w:cs="Open Sans"/>
        </w:rPr>
        <w:t xml:space="preserve"> means that they provide an equity loan that covers a percentage of the property value. </w:t>
      </w:r>
    </w:p>
    <w:p w:rsidR="008C2A8B" w:rsidRDefault="008C2A8B" w:rsidP="00971A02">
      <w:pPr>
        <w:pStyle w:val="BodyText"/>
      </w:pPr>
    </w:p>
    <w:p w:rsidR="00971A02" w:rsidRPr="00971A02" w:rsidRDefault="00971A02" w:rsidP="004828D1">
      <w:pPr>
        <w:pStyle w:val="BodyText"/>
        <w:ind w:left="0"/>
      </w:pPr>
    </w:p>
    <w:p w:rsidR="00421C47" w:rsidRPr="00821CA8" w:rsidRDefault="00421C47" w:rsidP="00421C47">
      <w:pPr>
        <w:pStyle w:val="Heading1"/>
        <w:rPr>
          <w:rFonts w:ascii="Open Sans" w:hAnsi="Open Sans" w:cs="Open Sans"/>
        </w:rPr>
      </w:pPr>
      <w:bookmarkStart w:id="38" w:name="_Toc495660151"/>
      <w:bookmarkStart w:id="39" w:name="_Hlk495486950"/>
      <w:r w:rsidRPr="00821CA8">
        <w:rPr>
          <w:rFonts w:ascii="Open Sans" w:hAnsi="Open Sans" w:cs="Open Sans"/>
        </w:rPr>
        <w:t>Maximising the potential of Anchor training and employment</w:t>
      </w:r>
      <w:bookmarkEnd w:id="38"/>
    </w:p>
    <w:bookmarkEnd w:id="39"/>
    <w:p w:rsidR="00865062" w:rsidRPr="00865062" w:rsidRDefault="00865062" w:rsidP="00865062">
      <w:pPr>
        <w:pStyle w:val="BodyText"/>
        <w:rPr>
          <w:rFonts w:ascii="Open Sans" w:hAnsi="Open Sans" w:cs="Open Sans"/>
        </w:rPr>
      </w:pPr>
      <w:r w:rsidRPr="00865062">
        <w:rPr>
          <w:rFonts w:ascii="Open Sans" w:hAnsi="Open Sans" w:cs="Open Sans"/>
        </w:rPr>
        <w:t xml:space="preserve">Anchor institutions </w:t>
      </w:r>
      <w:r>
        <w:rPr>
          <w:rFonts w:ascii="Open Sans" w:hAnsi="Open Sans" w:cs="Open Sans"/>
        </w:rPr>
        <w:t>are often significant local employers, with each institution potentially employing a workforce of thousands</w:t>
      </w:r>
      <w:r w:rsidR="004828D1">
        <w:rPr>
          <w:rFonts w:ascii="Open Sans" w:hAnsi="Open Sans" w:cs="Open Sans"/>
        </w:rPr>
        <w:t>. W</w:t>
      </w:r>
      <w:r w:rsidR="00495F5F">
        <w:rPr>
          <w:rFonts w:ascii="Open Sans" w:hAnsi="Open Sans" w:cs="Open Sans"/>
        </w:rPr>
        <w:t>hen this is scaled up across all anchor institutions in an area, anchor institution employment can represent a significant share of the local labour market. The extent to which the collective power of recruitment, training and employment can contribute to more inclusive growth has been relatively under explored. A co-ordinated approach to a</w:t>
      </w:r>
      <w:r w:rsidR="00495F5F" w:rsidRPr="00495F5F">
        <w:rPr>
          <w:rFonts w:ascii="Open Sans" w:hAnsi="Open Sans" w:cs="Open Sans"/>
        </w:rPr>
        <w:t xml:space="preserve">nchor institution </w:t>
      </w:r>
      <w:r w:rsidR="00495F5F">
        <w:rPr>
          <w:rFonts w:ascii="Open Sans" w:hAnsi="Open Sans" w:cs="Open Sans"/>
        </w:rPr>
        <w:t xml:space="preserve">training and </w:t>
      </w:r>
      <w:r w:rsidR="00495F5F" w:rsidRPr="00495F5F">
        <w:rPr>
          <w:rFonts w:ascii="Open Sans" w:hAnsi="Open Sans" w:cs="Open Sans"/>
        </w:rPr>
        <w:t>employment</w:t>
      </w:r>
      <w:r w:rsidR="00495F5F">
        <w:rPr>
          <w:rFonts w:ascii="Open Sans" w:hAnsi="Open Sans" w:cs="Open Sans"/>
        </w:rPr>
        <w:t xml:space="preserve"> has played a limited role in supporting those excluded from the labour market, however the increasingly localised approaches to employment support offer an opportunity to leverage the influence of anchor institutions in shaping local labour markets for local people.  </w:t>
      </w:r>
      <w:r>
        <w:rPr>
          <w:rFonts w:ascii="Open Sans" w:hAnsi="Open Sans" w:cs="Open Sans"/>
        </w:rPr>
        <w:t xml:space="preserve"> </w:t>
      </w:r>
    </w:p>
    <w:p w:rsidR="00421C47" w:rsidRDefault="00421C47" w:rsidP="00801970">
      <w:pPr>
        <w:pStyle w:val="Heading2"/>
        <w:rPr>
          <w:rFonts w:ascii="Open Sans" w:hAnsi="Open Sans" w:cs="Open Sans"/>
        </w:rPr>
      </w:pPr>
      <w:bookmarkStart w:id="40" w:name="_Toc495660152"/>
      <w:r w:rsidRPr="00801970">
        <w:rPr>
          <w:rFonts w:ascii="Open Sans" w:hAnsi="Open Sans" w:cs="Open Sans"/>
        </w:rPr>
        <w:t>Developing opportunities for local people</w:t>
      </w:r>
      <w:bookmarkEnd w:id="40"/>
    </w:p>
    <w:p w:rsidR="00BC28F5" w:rsidRDefault="00F40CC9" w:rsidP="00BC28F5">
      <w:pPr>
        <w:pStyle w:val="BodyText"/>
        <w:rPr>
          <w:rFonts w:ascii="Open Sans" w:hAnsi="Open Sans" w:cs="Open Sans"/>
        </w:rPr>
      </w:pPr>
      <w:r>
        <w:rPr>
          <w:rFonts w:ascii="Open Sans" w:hAnsi="Open Sans" w:cs="Open Sans"/>
        </w:rPr>
        <w:t xml:space="preserve">CLES </w:t>
      </w:r>
      <w:r w:rsidR="002421A5">
        <w:rPr>
          <w:rFonts w:ascii="Open Sans" w:hAnsi="Open Sans" w:cs="Open Sans"/>
        </w:rPr>
        <w:t xml:space="preserve">are </w:t>
      </w:r>
      <w:r>
        <w:rPr>
          <w:rFonts w:ascii="Open Sans" w:hAnsi="Open Sans" w:cs="Open Sans"/>
        </w:rPr>
        <w:t xml:space="preserve">working with </w:t>
      </w:r>
      <w:r w:rsidR="00486A9F" w:rsidRPr="00486A9F">
        <w:rPr>
          <w:rFonts w:ascii="Open Sans" w:hAnsi="Open Sans" w:cs="Open Sans"/>
        </w:rPr>
        <w:t xml:space="preserve">the University of Birmingham </w:t>
      </w:r>
      <w:r>
        <w:rPr>
          <w:rFonts w:ascii="Open Sans" w:hAnsi="Open Sans" w:cs="Open Sans"/>
        </w:rPr>
        <w:t xml:space="preserve">to conduct </w:t>
      </w:r>
      <w:r w:rsidR="00486A9F" w:rsidRPr="00486A9F">
        <w:rPr>
          <w:rFonts w:ascii="Open Sans" w:hAnsi="Open Sans" w:cs="Open Sans"/>
        </w:rPr>
        <w:t>a staff and student mapping exercise</w:t>
      </w:r>
      <w:r w:rsidR="005F7018">
        <w:rPr>
          <w:rFonts w:ascii="Open Sans" w:hAnsi="Open Sans" w:cs="Open Sans"/>
        </w:rPr>
        <w:t>,</w:t>
      </w:r>
      <w:r w:rsidR="00486A9F" w:rsidRPr="00486A9F">
        <w:rPr>
          <w:rFonts w:ascii="Open Sans" w:hAnsi="Open Sans" w:cs="Open Sans"/>
        </w:rPr>
        <w:t xml:space="preserve"> overlaid with the index of multiple deprivation</w:t>
      </w:r>
      <w:r w:rsidR="005F7018">
        <w:rPr>
          <w:rFonts w:ascii="Open Sans" w:hAnsi="Open Sans" w:cs="Open Sans"/>
        </w:rPr>
        <w:t>,</w:t>
      </w:r>
      <w:r w:rsidR="00486A9F" w:rsidRPr="00486A9F">
        <w:rPr>
          <w:rFonts w:ascii="Open Sans" w:hAnsi="Open Sans" w:cs="Open Sans"/>
        </w:rPr>
        <w:t xml:space="preserve"> to explore the extent to which the university as an employer ref</w:t>
      </w:r>
      <w:r w:rsidR="00543FE8">
        <w:rPr>
          <w:rFonts w:ascii="Open Sans" w:hAnsi="Open Sans" w:cs="Open Sans"/>
        </w:rPr>
        <w:t>lects the diversity of the city. There is</w:t>
      </w:r>
      <w:r w:rsidR="00486A9F" w:rsidRPr="00486A9F">
        <w:rPr>
          <w:rFonts w:ascii="Open Sans" w:hAnsi="Open Sans" w:cs="Open Sans"/>
        </w:rPr>
        <w:t xml:space="preserve"> </w:t>
      </w:r>
      <w:r w:rsidR="00495F5F">
        <w:rPr>
          <w:rFonts w:ascii="Open Sans" w:hAnsi="Open Sans" w:cs="Open Sans"/>
        </w:rPr>
        <w:t xml:space="preserve">an intention to examine how </w:t>
      </w:r>
      <w:bookmarkStart w:id="41" w:name="_Hlk495486562"/>
      <w:r w:rsidR="00495F5F">
        <w:rPr>
          <w:rFonts w:ascii="Open Sans" w:hAnsi="Open Sans" w:cs="Open Sans"/>
        </w:rPr>
        <w:t>pre-</w:t>
      </w:r>
      <w:r w:rsidR="00486A9F" w:rsidRPr="00486A9F">
        <w:rPr>
          <w:rFonts w:ascii="Open Sans" w:hAnsi="Open Sans" w:cs="Open Sans"/>
        </w:rPr>
        <w:t xml:space="preserve">recruitment and recruitment policy </w:t>
      </w:r>
      <w:bookmarkEnd w:id="41"/>
      <w:r w:rsidR="00486A9F" w:rsidRPr="00486A9F">
        <w:rPr>
          <w:rFonts w:ascii="Open Sans" w:hAnsi="Open Sans" w:cs="Open Sans"/>
        </w:rPr>
        <w:t>may be developed to promote more inclusive growth.</w:t>
      </w:r>
    </w:p>
    <w:p w:rsidR="000D1DB2" w:rsidRPr="00486A9F" w:rsidRDefault="000D1DB2" w:rsidP="00BC28F5">
      <w:pPr>
        <w:pStyle w:val="BodyText"/>
        <w:rPr>
          <w:rFonts w:ascii="Open Sans" w:hAnsi="Open Sans" w:cs="Open Sans"/>
        </w:rPr>
      </w:pPr>
      <w:r>
        <w:rPr>
          <w:rFonts w:ascii="Open Sans" w:hAnsi="Open Sans" w:cs="Open Sans"/>
        </w:rPr>
        <w:t xml:space="preserve">Similar work is taking place in Oldham where the council have mapped their staff base (location and earnings) against the </w:t>
      </w:r>
      <w:r w:rsidRPr="00486A9F">
        <w:rPr>
          <w:rFonts w:ascii="Open Sans" w:hAnsi="Open Sans" w:cs="Open Sans"/>
        </w:rPr>
        <w:t>index of multiple deprivation</w:t>
      </w:r>
      <w:r>
        <w:rPr>
          <w:rFonts w:ascii="Open Sans" w:hAnsi="Open Sans" w:cs="Open Sans"/>
        </w:rPr>
        <w:t>. This has helped the council to understand their staff demographics far better than before and will help them begin to investigate why particular parts of the borough</w:t>
      </w:r>
      <w:r w:rsidR="00922B8E">
        <w:rPr>
          <w:rFonts w:ascii="Open Sans" w:hAnsi="Open Sans" w:cs="Open Sans"/>
        </w:rPr>
        <w:t xml:space="preserve"> may be </w:t>
      </w:r>
      <w:r w:rsidR="00543FE8">
        <w:rPr>
          <w:rFonts w:ascii="Open Sans" w:hAnsi="Open Sans" w:cs="Open Sans"/>
        </w:rPr>
        <w:t>unrepresented among</w:t>
      </w:r>
      <w:r w:rsidR="00922B8E">
        <w:rPr>
          <w:rFonts w:ascii="Open Sans" w:hAnsi="Open Sans" w:cs="Open Sans"/>
        </w:rPr>
        <w:t xml:space="preserve"> </w:t>
      </w:r>
      <w:r w:rsidR="00543FE8">
        <w:rPr>
          <w:rFonts w:ascii="Open Sans" w:hAnsi="Open Sans" w:cs="Open Sans"/>
        </w:rPr>
        <w:t xml:space="preserve">their staff </w:t>
      </w:r>
      <w:r w:rsidR="00922B8E">
        <w:rPr>
          <w:rFonts w:ascii="Open Sans" w:hAnsi="Open Sans" w:cs="Open Sans"/>
        </w:rPr>
        <w:t>and take action to make their workforce more reflective of their community.</w:t>
      </w:r>
    </w:p>
    <w:p w:rsidR="00421C47" w:rsidRDefault="00BC28F5" w:rsidP="00801970">
      <w:pPr>
        <w:pStyle w:val="Heading2"/>
        <w:rPr>
          <w:rFonts w:ascii="Open Sans" w:hAnsi="Open Sans" w:cs="Open Sans"/>
        </w:rPr>
      </w:pPr>
      <w:bookmarkStart w:id="42" w:name="_Toc495660153"/>
      <w:r>
        <w:rPr>
          <w:rFonts w:ascii="Open Sans" w:hAnsi="Open Sans" w:cs="Open Sans"/>
        </w:rPr>
        <w:t>Progressing staff</w:t>
      </w:r>
      <w:bookmarkEnd w:id="42"/>
      <w:r>
        <w:rPr>
          <w:rFonts w:ascii="Open Sans" w:hAnsi="Open Sans" w:cs="Open Sans"/>
        </w:rPr>
        <w:t xml:space="preserve"> </w:t>
      </w:r>
    </w:p>
    <w:p w:rsidR="00486A9F" w:rsidRPr="00486A9F" w:rsidRDefault="009F1EFB" w:rsidP="007D774C">
      <w:pPr>
        <w:pStyle w:val="BodyText"/>
        <w:rPr>
          <w:rFonts w:ascii="Open Sans" w:eastAsia="Open Sans" w:hAnsi="Open Sans" w:cs="Open Sans"/>
          <w:szCs w:val="20"/>
        </w:rPr>
      </w:pPr>
      <w:r w:rsidRPr="009F1EFB">
        <w:rPr>
          <w:rFonts w:ascii="Open Sans" w:eastAsia="Open Sans" w:hAnsi="Open Sans" w:cs="Open Sans"/>
          <w:szCs w:val="20"/>
        </w:rPr>
        <w:t xml:space="preserve">Burnley Borough Council has been identified as a </w:t>
      </w:r>
      <w:r w:rsidR="00543FE8">
        <w:rPr>
          <w:rFonts w:ascii="Open Sans" w:eastAsia="Open Sans" w:hAnsi="Open Sans" w:cs="Open Sans"/>
          <w:szCs w:val="20"/>
        </w:rPr>
        <w:t xml:space="preserve">public sector </w:t>
      </w:r>
      <w:r w:rsidRPr="009F1EFB">
        <w:rPr>
          <w:rFonts w:ascii="Open Sans" w:eastAsia="Open Sans" w:hAnsi="Open Sans" w:cs="Open Sans"/>
          <w:szCs w:val="20"/>
        </w:rPr>
        <w:t>good practice exa</w:t>
      </w:r>
      <w:r>
        <w:rPr>
          <w:rFonts w:ascii="Open Sans" w:eastAsia="Open Sans" w:hAnsi="Open Sans" w:cs="Open Sans"/>
          <w:szCs w:val="20"/>
        </w:rPr>
        <w:t xml:space="preserve">mple </w:t>
      </w:r>
      <w:r w:rsidR="00543FE8">
        <w:rPr>
          <w:rFonts w:ascii="Open Sans" w:eastAsia="Open Sans" w:hAnsi="Open Sans" w:cs="Open Sans"/>
          <w:szCs w:val="20"/>
        </w:rPr>
        <w:t>of</w:t>
      </w:r>
      <w:r w:rsidRPr="009F1EFB">
        <w:rPr>
          <w:rFonts w:ascii="Open Sans" w:eastAsia="Open Sans" w:hAnsi="Open Sans" w:cs="Open Sans"/>
          <w:szCs w:val="20"/>
        </w:rPr>
        <w:t xml:space="preserve"> an organisation focused on th</w:t>
      </w:r>
      <w:r>
        <w:rPr>
          <w:rFonts w:ascii="Open Sans" w:eastAsia="Open Sans" w:hAnsi="Open Sans" w:cs="Open Sans"/>
          <w:szCs w:val="20"/>
        </w:rPr>
        <w:t>e progression of its employees.</w:t>
      </w:r>
      <w:r w:rsidR="00865062">
        <w:rPr>
          <w:rStyle w:val="FootnoteReference"/>
          <w:rFonts w:ascii="Open Sans" w:eastAsia="Open Sans" w:hAnsi="Open Sans" w:cs="Open Sans"/>
          <w:szCs w:val="20"/>
        </w:rPr>
        <w:footnoteReference w:id="7"/>
      </w:r>
      <w:r w:rsidR="00486A9F" w:rsidRPr="00486A9F">
        <w:rPr>
          <w:rFonts w:ascii="Open Sans" w:eastAsia="Open Sans" w:hAnsi="Open Sans" w:cs="Open Sans"/>
          <w:szCs w:val="20"/>
        </w:rPr>
        <w:t xml:space="preserve"> </w:t>
      </w:r>
      <w:r w:rsidRPr="009F1EFB">
        <w:rPr>
          <w:rFonts w:ascii="Open Sans" w:eastAsia="Open Sans" w:hAnsi="Open Sans" w:cs="Open Sans"/>
          <w:szCs w:val="20"/>
        </w:rPr>
        <w:t>There is a strong commitment to developing talent internally, and progressing it through the organisation.</w:t>
      </w:r>
      <w:r w:rsidR="007D774C">
        <w:rPr>
          <w:rFonts w:ascii="Open Sans" w:eastAsia="Open Sans" w:hAnsi="Open Sans" w:cs="Open Sans"/>
          <w:szCs w:val="20"/>
        </w:rPr>
        <w:t xml:space="preserve"> </w:t>
      </w:r>
      <w:r w:rsidR="00543FE8">
        <w:rPr>
          <w:rFonts w:ascii="Open Sans" w:eastAsia="Open Sans" w:hAnsi="Open Sans" w:cs="Open Sans"/>
          <w:szCs w:val="20"/>
        </w:rPr>
        <w:t>The</w:t>
      </w:r>
      <w:r w:rsidR="00486A9F" w:rsidRPr="00486A9F">
        <w:rPr>
          <w:rFonts w:ascii="Open Sans" w:eastAsia="Open Sans" w:hAnsi="Open Sans" w:cs="Open Sans"/>
          <w:szCs w:val="20"/>
        </w:rPr>
        <w:t xml:space="preserve"> Council has created </w:t>
      </w:r>
      <w:r w:rsidR="00543FE8" w:rsidRPr="00486A9F">
        <w:rPr>
          <w:rFonts w:ascii="Open Sans" w:eastAsia="Open Sans" w:hAnsi="Open Sans" w:cs="Open Sans"/>
          <w:szCs w:val="20"/>
        </w:rPr>
        <w:t>several</w:t>
      </w:r>
      <w:r w:rsidR="00486A9F" w:rsidRPr="00486A9F">
        <w:rPr>
          <w:rFonts w:ascii="Open Sans" w:eastAsia="Open Sans" w:hAnsi="Open Sans" w:cs="Open Sans"/>
          <w:szCs w:val="20"/>
        </w:rPr>
        <w:t xml:space="preserve"> trainee and apprenticeship roles that combine learning and progression opportunities for new recruits.</w:t>
      </w:r>
      <w:r w:rsidR="00865062">
        <w:rPr>
          <w:rFonts w:ascii="Open Sans" w:eastAsia="Open Sans" w:hAnsi="Open Sans" w:cs="Open Sans"/>
          <w:szCs w:val="20"/>
        </w:rPr>
        <w:t xml:space="preserve"> </w:t>
      </w:r>
      <w:r w:rsidR="00486A9F" w:rsidRPr="00486A9F">
        <w:rPr>
          <w:rFonts w:ascii="Open Sans" w:eastAsia="Open Sans" w:hAnsi="Open Sans" w:cs="Open Sans"/>
          <w:szCs w:val="20"/>
        </w:rPr>
        <w:t xml:space="preserve">The existence of </w:t>
      </w:r>
      <w:r w:rsidR="00543FE8" w:rsidRPr="00486A9F">
        <w:rPr>
          <w:rFonts w:ascii="Open Sans" w:eastAsia="Open Sans" w:hAnsi="Open Sans" w:cs="Open Sans"/>
          <w:szCs w:val="20"/>
        </w:rPr>
        <w:t>several</w:t>
      </w:r>
      <w:r w:rsidR="00486A9F" w:rsidRPr="00486A9F">
        <w:rPr>
          <w:rFonts w:ascii="Open Sans" w:eastAsia="Open Sans" w:hAnsi="Open Sans" w:cs="Open Sans"/>
          <w:szCs w:val="20"/>
        </w:rPr>
        <w:t xml:space="preserve"> corporate groups that bring together different staff levels and functions to undertake specific project work (for example, preparing fo</w:t>
      </w:r>
      <w:r w:rsidR="00543FE8">
        <w:rPr>
          <w:rFonts w:ascii="Open Sans" w:eastAsia="Open Sans" w:hAnsi="Open Sans" w:cs="Open Sans"/>
          <w:szCs w:val="20"/>
        </w:rPr>
        <w:t xml:space="preserve">r Investors in People) offers an important </w:t>
      </w:r>
      <w:r w:rsidR="00486A9F" w:rsidRPr="00486A9F">
        <w:rPr>
          <w:rFonts w:ascii="Open Sans" w:eastAsia="Open Sans" w:hAnsi="Open Sans" w:cs="Open Sans"/>
          <w:szCs w:val="20"/>
        </w:rPr>
        <w:t>progression route.</w:t>
      </w:r>
    </w:p>
    <w:p w:rsidR="005C6583" w:rsidRPr="00865062" w:rsidRDefault="00486A9F" w:rsidP="00865062">
      <w:pPr>
        <w:pStyle w:val="BodyText"/>
        <w:rPr>
          <w:rFonts w:ascii="Open Sans" w:eastAsia="Open Sans" w:hAnsi="Open Sans" w:cs="Open Sans"/>
          <w:szCs w:val="20"/>
        </w:rPr>
      </w:pPr>
      <w:r w:rsidRPr="00486A9F">
        <w:rPr>
          <w:rFonts w:ascii="Open Sans" w:eastAsia="Open Sans" w:hAnsi="Open Sans" w:cs="Open Sans"/>
          <w:szCs w:val="20"/>
        </w:rPr>
        <w:t>Increasing staff engagement and satisfaction as a result of the provision of training and development, mentoring and coaching and access to professional career guidance has had a positive impac</w:t>
      </w:r>
      <w:r w:rsidR="00FC1CC1">
        <w:rPr>
          <w:rFonts w:ascii="Open Sans" w:eastAsia="Open Sans" w:hAnsi="Open Sans" w:cs="Open Sans"/>
          <w:szCs w:val="20"/>
        </w:rPr>
        <w:t>t on the institution</w:t>
      </w:r>
      <w:r w:rsidRPr="00486A9F">
        <w:rPr>
          <w:rFonts w:ascii="Open Sans" w:eastAsia="Open Sans" w:hAnsi="Open Sans" w:cs="Open Sans"/>
          <w:szCs w:val="20"/>
        </w:rPr>
        <w:t xml:space="preserve"> and</w:t>
      </w:r>
      <w:r w:rsidR="00FC1CC1">
        <w:rPr>
          <w:rFonts w:ascii="Open Sans" w:eastAsia="Open Sans" w:hAnsi="Open Sans" w:cs="Open Sans"/>
          <w:szCs w:val="20"/>
        </w:rPr>
        <w:t xml:space="preserve"> its relationship with the wider population</w:t>
      </w:r>
      <w:r w:rsidRPr="00486A9F">
        <w:rPr>
          <w:rFonts w:ascii="Open Sans" w:eastAsia="Open Sans" w:hAnsi="Open Sans" w:cs="Open Sans"/>
          <w:szCs w:val="20"/>
        </w:rPr>
        <w:t xml:space="preserve">. </w:t>
      </w:r>
    </w:p>
    <w:p w:rsidR="00421C47" w:rsidRDefault="00421C47" w:rsidP="00801970">
      <w:pPr>
        <w:pStyle w:val="Heading2"/>
        <w:rPr>
          <w:rFonts w:ascii="Open Sans" w:hAnsi="Open Sans" w:cs="Open Sans"/>
        </w:rPr>
      </w:pPr>
      <w:bookmarkStart w:id="43" w:name="_Toc495660154"/>
      <w:r w:rsidRPr="00801970">
        <w:rPr>
          <w:rFonts w:ascii="Open Sans" w:hAnsi="Open Sans" w:cs="Open Sans"/>
        </w:rPr>
        <w:t>Develo</w:t>
      </w:r>
      <w:r w:rsidR="00543FE8">
        <w:rPr>
          <w:rFonts w:ascii="Open Sans" w:hAnsi="Open Sans" w:cs="Open Sans"/>
        </w:rPr>
        <w:t>ping progression routes across a</w:t>
      </w:r>
      <w:r w:rsidRPr="00801970">
        <w:rPr>
          <w:rFonts w:ascii="Open Sans" w:hAnsi="Open Sans" w:cs="Open Sans"/>
        </w:rPr>
        <w:t>nchors</w:t>
      </w:r>
      <w:bookmarkEnd w:id="43"/>
    </w:p>
    <w:p w:rsidR="00865062" w:rsidRDefault="00865062" w:rsidP="00865062">
      <w:pPr>
        <w:pStyle w:val="BodyText"/>
        <w:rPr>
          <w:rFonts w:ascii="Open Sans" w:hAnsi="Open Sans" w:cs="Open Sans"/>
        </w:rPr>
      </w:pPr>
      <w:r w:rsidRPr="00865062">
        <w:rPr>
          <w:rFonts w:ascii="Open Sans" w:hAnsi="Open Sans" w:cs="Open Sans"/>
        </w:rPr>
        <w:t>Career ladder programmes, which have</w:t>
      </w:r>
      <w:r w:rsidR="00543FE8">
        <w:rPr>
          <w:rFonts w:ascii="Open Sans" w:hAnsi="Open Sans" w:cs="Open Sans"/>
        </w:rPr>
        <w:t xml:space="preserve"> been developed in the US, link</w:t>
      </w:r>
      <w:r w:rsidRPr="00865062">
        <w:rPr>
          <w:rFonts w:ascii="Open Sans" w:hAnsi="Open Sans" w:cs="Open Sans"/>
        </w:rPr>
        <w:t xml:space="preserve"> skills provision for low-wage workers with structured progression opportunities within a</w:t>
      </w:r>
      <w:r w:rsidR="00543FE8">
        <w:rPr>
          <w:rFonts w:ascii="Open Sans" w:hAnsi="Open Sans" w:cs="Open Sans"/>
        </w:rPr>
        <w:t>n</w:t>
      </w:r>
      <w:r w:rsidRPr="00865062">
        <w:rPr>
          <w:rFonts w:ascii="Open Sans" w:hAnsi="Open Sans" w:cs="Open Sans"/>
        </w:rPr>
        <w:t xml:space="preserve"> </w:t>
      </w:r>
      <w:r w:rsidR="00543FE8">
        <w:rPr>
          <w:rFonts w:ascii="Open Sans" w:hAnsi="Open Sans" w:cs="Open Sans"/>
        </w:rPr>
        <w:t>organisation</w:t>
      </w:r>
      <w:r w:rsidRPr="00865062">
        <w:rPr>
          <w:rFonts w:ascii="Open Sans" w:hAnsi="Open Sans" w:cs="Open Sans"/>
        </w:rPr>
        <w:t xml:space="preserve">, sector or local area. </w:t>
      </w:r>
      <w:r w:rsidR="00E62942">
        <w:rPr>
          <w:rFonts w:ascii="Open Sans" w:hAnsi="Open Sans" w:cs="Open Sans"/>
        </w:rPr>
        <w:t xml:space="preserve">The </w:t>
      </w:r>
      <w:r w:rsidRPr="00865062">
        <w:rPr>
          <w:rFonts w:ascii="Open Sans" w:hAnsi="Open Sans" w:cs="Open Sans"/>
        </w:rPr>
        <w:t xml:space="preserve">Tri-County Job Ladder Partnership is a collective of </w:t>
      </w:r>
      <w:r w:rsidR="002421A5">
        <w:rPr>
          <w:rFonts w:ascii="Open Sans" w:hAnsi="Open Sans" w:cs="Open Sans"/>
        </w:rPr>
        <w:t xml:space="preserve">34 </w:t>
      </w:r>
      <w:r w:rsidRPr="00865062">
        <w:rPr>
          <w:rFonts w:ascii="Open Sans" w:hAnsi="Open Sans" w:cs="Open Sans"/>
        </w:rPr>
        <w:t xml:space="preserve">employers and </w:t>
      </w:r>
      <w:r w:rsidR="002421A5">
        <w:rPr>
          <w:rFonts w:ascii="Open Sans" w:hAnsi="Open Sans" w:cs="Open Sans"/>
        </w:rPr>
        <w:t xml:space="preserve">six </w:t>
      </w:r>
      <w:r w:rsidRPr="00865062">
        <w:rPr>
          <w:rFonts w:ascii="Open Sans" w:hAnsi="Open Sans" w:cs="Open Sans"/>
        </w:rPr>
        <w:t>community colleges</w:t>
      </w:r>
      <w:r w:rsidR="002421A5">
        <w:rPr>
          <w:rFonts w:ascii="Open Sans" w:hAnsi="Open Sans" w:cs="Open Sans"/>
        </w:rPr>
        <w:t xml:space="preserve"> in the Seattle area</w:t>
      </w:r>
      <w:r w:rsidRPr="00865062">
        <w:rPr>
          <w:rFonts w:ascii="Open Sans" w:hAnsi="Open Sans" w:cs="Open Sans"/>
        </w:rPr>
        <w:t xml:space="preserve"> who have created career and educational pathways across four sectors: manufacturing, customer relations, information technology and health services.</w:t>
      </w:r>
    </w:p>
    <w:p w:rsidR="002421A5" w:rsidRDefault="002421A5" w:rsidP="00FC1CC1">
      <w:pPr>
        <w:pStyle w:val="BodyText"/>
        <w:rPr>
          <w:rFonts w:ascii="Open Sans" w:hAnsi="Open Sans" w:cs="Open Sans"/>
        </w:rPr>
      </w:pPr>
      <w:r>
        <w:rPr>
          <w:rFonts w:ascii="Open Sans" w:hAnsi="Open Sans" w:cs="Open Sans"/>
        </w:rPr>
        <w:t xml:space="preserve">In a UK context, an anchor institution network could be leveraged in a similar way, with </w:t>
      </w:r>
      <w:r w:rsidRPr="002421A5">
        <w:rPr>
          <w:rFonts w:ascii="Open Sans" w:hAnsi="Open Sans" w:cs="Open Sans"/>
        </w:rPr>
        <w:t>collaboration across</w:t>
      </w:r>
      <w:r>
        <w:rPr>
          <w:rFonts w:ascii="Open Sans" w:hAnsi="Open Sans" w:cs="Open Sans"/>
        </w:rPr>
        <w:t xml:space="preserve"> </w:t>
      </w:r>
      <w:r w:rsidRPr="002421A5">
        <w:rPr>
          <w:rFonts w:ascii="Open Sans" w:hAnsi="Open Sans" w:cs="Open Sans"/>
        </w:rPr>
        <w:t>local anchor</w:t>
      </w:r>
      <w:r w:rsidR="00543FE8">
        <w:rPr>
          <w:rFonts w:ascii="Open Sans" w:hAnsi="Open Sans" w:cs="Open Sans"/>
        </w:rPr>
        <w:t>s</w:t>
      </w:r>
      <w:r w:rsidRPr="002421A5">
        <w:rPr>
          <w:rFonts w:ascii="Open Sans" w:hAnsi="Open Sans" w:cs="Open Sans"/>
        </w:rPr>
        <w:t xml:space="preserve"> to develop a local</w:t>
      </w:r>
      <w:r>
        <w:rPr>
          <w:rFonts w:ascii="Open Sans" w:hAnsi="Open Sans" w:cs="Open Sans"/>
        </w:rPr>
        <w:t xml:space="preserve"> </w:t>
      </w:r>
      <w:r w:rsidR="00FC1CC1">
        <w:rPr>
          <w:rFonts w:ascii="Open Sans" w:hAnsi="Open Sans" w:cs="Open Sans"/>
        </w:rPr>
        <w:t xml:space="preserve">‘skills escalator’. </w:t>
      </w:r>
      <w:r w:rsidRPr="002421A5">
        <w:rPr>
          <w:rFonts w:ascii="Open Sans" w:hAnsi="Open Sans" w:cs="Open Sans"/>
        </w:rPr>
        <w:t>A cohesive progression</w:t>
      </w:r>
      <w:r w:rsidR="00FC1CC1">
        <w:rPr>
          <w:rFonts w:ascii="Open Sans" w:hAnsi="Open Sans" w:cs="Open Sans"/>
        </w:rPr>
        <w:t xml:space="preserve"> </w:t>
      </w:r>
      <w:r w:rsidRPr="002421A5">
        <w:rPr>
          <w:rFonts w:ascii="Open Sans" w:hAnsi="Open Sans" w:cs="Open Sans"/>
        </w:rPr>
        <w:t xml:space="preserve">strategy could allow people – from work experience students to graduates </w:t>
      </w:r>
      <w:r w:rsidR="00FC1CC1">
        <w:rPr>
          <w:rFonts w:ascii="Open Sans" w:hAnsi="Open Sans" w:cs="Open Sans"/>
        </w:rPr>
        <w:t>–</w:t>
      </w:r>
      <w:r w:rsidRPr="002421A5">
        <w:rPr>
          <w:rFonts w:ascii="Open Sans" w:hAnsi="Open Sans" w:cs="Open Sans"/>
        </w:rPr>
        <w:t xml:space="preserve"> to</w:t>
      </w:r>
      <w:r w:rsidR="00FC1CC1">
        <w:rPr>
          <w:rFonts w:ascii="Open Sans" w:hAnsi="Open Sans" w:cs="Open Sans"/>
        </w:rPr>
        <w:t xml:space="preserve"> </w:t>
      </w:r>
      <w:r w:rsidRPr="002421A5">
        <w:rPr>
          <w:rFonts w:ascii="Open Sans" w:hAnsi="Open Sans" w:cs="Open Sans"/>
        </w:rPr>
        <w:t>move around and across anchors as part of a</w:t>
      </w:r>
      <w:r w:rsidR="00FC1CC1">
        <w:rPr>
          <w:rFonts w:ascii="Open Sans" w:hAnsi="Open Sans" w:cs="Open Sans"/>
        </w:rPr>
        <w:t xml:space="preserve"> </w:t>
      </w:r>
      <w:r w:rsidRPr="002421A5">
        <w:rPr>
          <w:rFonts w:ascii="Open Sans" w:hAnsi="Open Sans" w:cs="Open Sans"/>
        </w:rPr>
        <w:t>defined skills development programme.</w:t>
      </w:r>
    </w:p>
    <w:p w:rsidR="00421C47" w:rsidRPr="00821CA8" w:rsidRDefault="001C3ABE" w:rsidP="00421C47">
      <w:pPr>
        <w:pStyle w:val="BodyText"/>
        <w:rPr>
          <w:rFonts w:ascii="Open Sans" w:hAnsi="Open Sans" w:cs="Open Sans"/>
        </w:rPr>
      </w:pPr>
      <w:r w:rsidRPr="00862A05">
        <w:rPr>
          <w:rFonts w:ascii="Open Sans" w:hAnsi="Open Sans" w:cs="Open Sans"/>
        </w:rPr>
        <w:t xml:space="preserve">In Barnsley, </w:t>
      </w:r>
      <w:r w:rsidR="00862A05">
        <w:rPr>
          <w:rFonts w:ascii="Open Sans" w:hAnsi="Open Sans" w:cs="Open Sans"/>
        </w:rPr>
        <w:t>CLES have supported the development of the ‘more and better jobs’ strategy</w:t>
      </w:r>
      <w:r w:rsidR="00543FE8">
        <w:rPr>
          <w:rFonts w:ascii="Open Sans" w:hAnsi="Open Sans" w:cs="Open Sans"/>
        </w:rPr>
        <w:t>,</w:t>
      </w:r>
      <w:r w:rsidR="00862A05">
        <w:rPr>
          <w:rFonts w:ascii="Open Sans" w:hAnsi="Open Sans" w:cs="Open Sans"/>
        </w:rPr>
        <w:t xml:space="preserve"> which includes a priority to e</w:t>
      </w:r>
      <w:r w:rsidRPr="00862A05">
        <w:rPr>
          <w:rFonts w:ascii="Open Sans" w:hAnsi="Open Sans" w:cs="Open Sans"/>
        </w:rPr>
        <w:t>xplore the scope for working with larger public and private employers to create a progression strategy</w:t>
      </w:r>
      <w:r w:rsidR="00862A05">
        <w:rPr>
          <w:rFonts w:ascii="Open Sans" w:hAnsi="Open Sans" w:cs="Open Sans"/>
        </w:rPr>
        <w:t xml:space="preserve"> and d</w:t>
      </w:r>
      <w:r w:rsidRPr="00862A05">
        <w:rPr>
          <w:rFonts w:ascii="Open Sans" w:hAnsi="Open Sans" w:cs="Open Sans"/>
        </w:rPr>
        <w:t>evelop a skills escalator programme from work experience to graduate intakes across larger public and private employers.</w:t>
      </w:r>
    </w:p>
    <w:p w:rsidR="00421C47" w:rsidRPr="00821CA8" w:rsidRDefault="0070484C" w:rsidP="00421C47">
      <w:pPr>
        <w:pStyle w:val="Heading1"/>
        <w:rPr>
          <w:rFonts w:ascii="Open Sans" w:hAnsi="Open Sans" w:cs="Open Sans"/>
        </w:rPr>
      </w:pPr>
      <w:bookmarkStart w:id="44" w:name="_Toc495660155"/>
      <w:r>
        <w:rPr>
          <w:rFonts w:ascii="Open Sans" w:hAnsi="Open Sans" w:cs="Open Sans"/>
        </w:rPr>
        <w:t xml:space="preserve">Maximising the </w:t>
      </w:r>
      <w:r w:rsidR="00971A02">
        <w:rPr>
          <w:rFonts w:ascii="Open Sans" w:hAnsi="Open Sans" w:cs="Open Sans"/>
        </w:rPr>
        <w:t xml:space="preserve">local impacts </w:t>
      </w:r>
      <w:r w:rsidR="00421C47" w:rsidRPr="00821CA8">
        <w:rPr>
          <w:rFonts w:ascii="Open Sans" w:hAnsi="Open Sans" w:cs="Open Sans"/>
        </w:rPr>
        <w:t>of local business</w:t>
      </w:r>
      <w:bookmarkEnd w:id="44"/>
    </w:p>
    <w:p w:rsidR="00FC1CC1" w:rsidRDefault="0056618D" w:rsidP="00FC1CC1">
      <w:pPr>
        <w:pStyle w:val="BodyText"/>
        <w:rPr>
          <w:rFonts w:ascii="Open Sans" w:hAnsi="Open Sans" w:cs="Open Sans"/>
        </w:rPr>
      </w:pPr>
      <w:r>
        <w:rPr>
          <w:rFonts w:ascii="Open Sans" w:hAnsi="Open Sans" w:cs="Open Sans"/>
        </w:rPr>
        <w:t xml:space="preserve">An anchor institution approach provides an opportunity </w:t>
      </w:r>
      <w:r w:rsidR="00FC1CC1" w:rsidRPr="00FC1CC1">
        <w:rPr>
          <w:rFonts w:ascii="Open Sans" w:hAnsi="Open Sans" w:cs="Open Sans"/>
        </w:rPr>
        <w:t xml:space="preserve">to </w:t>
      </w:r>
      <w:r w:rsidR="007D774C">
        <w:rPr>
          <w:rFonts w:ascii="Open Sans" w:hAnsi="Open Sans" w:cs="Open Sans"/>
        </w:rPr>
        <w:t xml:space="preserve">not only </w:t>
      </w:r>
      <w:r w:rsidR="00FC1CC1" w:rsidRPr="00FC1CC1">
        <w:rPr>
          <w:rFonts w:ascii="Open Sans" w:hAnsi="Open Sans" w:cs="Open Sans"/>
        </w:rPr>
        <w:t xml:space="preserve">develop a deeper understanding of the </w:t>
      </w:r>
      <w:r w:rsidR="00BD1618">
        <w:rPr>
          <w:rFonts w:ascii="Open Sans" w:hAnsi="Open Sans" w:cs="Open Sans"/>
        </w:rPr>
        <w:t>local business base</w:t>
      </w:r>
      <w:r w:rsidR="0043757E">
        <w:rPr>
          <w:rFonts w:ascii="Open Sans" w:hAnsi="Open Sans" w:cs="Open Sans"/>
        </w:rPr>
        <w:t>,</w:t>
      </w:r>
      <w:r w:rsidR="00BD1618">
        <w:rPr>
          <w:rFonts w:ascii="Open Sans" w:hAnsi="Open Sans" w:cs="Open Sans"/>
        </w:rPr>
        <w:t xml:space="preserve"> and specifically the anchor institution </w:t>
      </w:r>
      <w:r w:rsidR="00FC1CC1" w:rsidRPr="00FC1CC1">
        <w:rPr>
          <w:rFonts w:ascii="Open Sans" w:hAnsi="Open Sans" w:cs="Open Sans"/>
        </w:rPr>
        <w:t>supply chain in terms of the social value this generates locally</w:t>
      </w:r>
      <w:r w:rsidR="007D774C">
        <w:rPr>
          <w:rFonts w:ascii="Open Sans" w:hAnsi="Open Sans" w:cs="Open Sans"/>
        </w:rPr>
        <w:t>, but also provides a new avenue to reach out to local businesses and engage them via business support activities</w:t>
      </w:r>
      <w:r w:rsidR="00FC1CC1" w:rsidRPr="00FC1CC1">
        <w:rPr>
          <w:rFonts w:ascii="Open Sans" w:hAnsi="Open Sans" w:cs="Open Sans"/>
        </w:rPr>
        <w:t xml:space="preserve">. </w:t>
      </w:r>
    </w:p>
    <w:p w:rsidR="00421C47" w:rsidRPr="00FC1CC1" w:rsidRDefault="00421C47" w:rsidP="00FC1CC1">
      <w:pPr>
        <w:pStyle w:val="Heading2"/>
        <w:rPr>
          <w:rFonts w:ascii="Open Sans" w:hAnsi="Open Sans" w:cs="Open Sans"/>
        </w:rPr>
      </w:pPr>
      <w:bookmarkStart w:id="45" w:name="_Toc495660156"/>
      <w:r w:rsidRPr="00FC1CC1">
        <w:rPr>
          <w:rFonts w:ascii="Open Sans" w:hAnsi="Open Sans" w:cs="Open Sans"/>
        </w:rPr>
        <w:t xml:space="preserve">Analysing supplier </w:t>
      </w:r>
      <w:r w:rsidR="00BD1618">
        <w:rPr>
          <w:rFonts w:ascii="Open Sans" w:hAnsi="Open Sans" w:cs="Open Sans"/>
        </w:rPr>
        <w:t xml:space="preserve">social value and local </w:t>
      </w:r>
      <w:r w:rsidRPr="00FC1CC1">
        <w:rPr>
          <w:rFonts w:ascii="Open Sans" w:hAnsi="Open Sans" w:cs="Open Sans"/>
        </w:rPr>
        <w:t>re-spend</w:t>
      </w:r>
      <w:bookmarkEnd w:id="45"/>
      <w:r w:rsidRPr="00FC1CC1">
        <w:rPr>
          <w:rFonts w:ascii="Open Sans" w:hAnsi="Open Sans" w:cs="Open Sans"/>
        </w:rPr>
        <w:t xml:space="preserve"> </w:t>
      </w:r>
    </w:p>
    <w:p w:rsidR="00BD1618" w:rsidRDefault="007D774C" w:rsidP="00FC1CC1">
      <w:pPr>
        <w:pStyle w:val="BodyText"/>
        <w:rPr>
          <w:rFonts w:ascii="Open Sans" w:hAnsi="Open Sans" w:cs="Open Sans"/>
        </w:rPr>
      </w:pPr>
      <w:r w:rsidRPr="007D774C">
        <w:rPr>
          <w:rFonts w:ascii="Open Sans" w:hAnsi="Open Sans" w:cs="Open Sans"/>
        </w:rPr>
        <w:t xml:space="preserve">It is too simplistic to assume that benefit will automatically be derived by utilising local suppliers. </w:t>
      </w:r>
      <w:r w:rsidR="008A5DE0">
        <w:rPr>
          <w:rFonts w:ascii="Open Sans" w:hAnsi="Open Sans" w:cs="Open Sans"/>
        </w:rPr>
        <w:t>Therefore,</w:t>
      </w:r>
      <w:r>
        <w:rPr>
          <w:rFonts w:ascii="Open Sans" w:hAnsi="Open Sans" w:cs="Open Sans"/>
        </w:rPr>
        <w:t xml:space="preserve"> </w:t>
      </w:r>
      <w:r w:rsidR="00FC1CC1">
        <w:rPr>
          <w:rFonts w:ascii="Open Sans" w:hAnsi="Open Sans" w:cs="Open Sans"/>
        </w:rPr>
        <w:t xml:space="preserve">CLES </w:t>
      </w:r>
      <w:r w:rsidR="00BD1618">
        <w:rPr>
          <w:rFonts w:ascii="Open Sans" w:hAnsi="Open Sans" w:cs="Open Sans"/>
        </w:rPr>
        <w:t xml:space="preserve">frequently </w:t>
      </w:r>
      <w:r w:rsidR="00FC1CC1">
        <w:rPr>
          <w:rFonts w:ascii="Open Sans" w:hAnsi="Open Sans" w:cs="Open Sans"/>
        </w:rPr>
        <w:t>conduct</w:t>
      </w:r>
      <w:r>
        <w:rPr>
          <w:rFonts w:ascii="Open Sans" w:hAnsi="Open Sans" w:cs="Open Sans"/>
        </w:rPr>
        <w:t>s</w:t>
      </w:r>
      <w:r w:rsidR="00FC1CC1">
        <w:rPr>
          <w:rFonts w:ascii="Open Sans" w:hAnsi="Open Sans" w:cs="Open Sans"/>
        </w:rPr>
        <w:t xml:space="preserve"> </w:t>
      </w:r>
      <w:r w:rsidR="00FC1CC1" w:rsidRPr="00FC1CC1">
        <w:rPr>
          <w:rFonts w:ascii="Open Sans" w:hAnsi="Open Sans" w:cs="Open Sans"/>
        </w:rPr>
        <w:t>survey</w:t>
      </w:r>
      <w:r w:rsidR="00FC1CC1">
        <w:rPr>
          <w:rFonts w:ascii="Open Sans" w:hAnsi="Open Sans" w:cs="Open Sans"/>
        </w:rPr>
        <w:t xml:space="preserve">s with </w:t>
      </w:r>
      <w:r w:rsidR="00C35E72">
        <w:rPr>
          <w:rFonts w:ascii="Open Sans" w:hAnsi="Open Sans" w:cs="Open Sans"/>
        </w:rPr>
        <w:t>supply chain</w:t>
      </w:r>
      <w:r w:rsidR="00FC1CC1" w:rsidRPr="00FC1CC1">
        <w:rPr>
          <w:rFonts w:ascii="Open Sans" w:hAnsi="Open Sans" w:cs="Open Sans"/>
        </w:rPr>
        <w:t xml:space="preserve"> businesses </w:t>
      </w:r>
      <w:r w:rsidR="00BD1618">
        <w:rPr>
          <w:rFonts w:ascii="Open Sans" w:hAnsi="Open Sans" w:cs="Open Sans"/>
        </w:rPr>
        <w:t>(typically the top 300</w:t>
      </w:r>
      <w:r w:rsidR="00C35E72">
        <w:rPr>
          <w:rFonts w:ascii="Open Sans" w:hAnsi="Open Sans" w:cs="Open Sans"/>
        </w:rPr>
        <w:t xml:space="preserve"> by value</w:t>
      </w:r>
      <w:r w:rsidR="00BD1618">
        <w:rPr>
          <w:rFonts w:ascii="Open Sans" w:hAnsi="Open Sans" w:cs="Open Sans"/>
        </w:rPr>
        <w:t xml:space="preserve">) to explore the </w:t>
      </w:r>
      <w:r>
        <w:rPr>
          <w:rFonts w:ascii="Open Sans" w:hAnsi="Open Sans" w:cs="Open Sans"/>
        </w:rPr>
        <w:t xml:space="preserve">local </w:t>
      </w:r>
      <w:r w:rsidR="00BD1618">
        <w:rPr>
          <w:rFonts w:ascii="Open Sans" w:hAnsi="Open Sans" w:cs="Open Sans"/>
        </w:rPr>
        <w:t xml:space="preserve">social value they create. </w:t>
      </w:r>
      <w:r w:rsidR="00FC1CC1" w:rsidRPr="00FC1CC1">
        <w:rPr>
          <w:rFonts w:ascii="Open Sans" w:hAnsi="Open Sans" w:cs="Open Sans"/>
        </w:rPr>
        <w:t>This analysis varies in scope and content, but is info</w:t>
      </w:r>
      <w:r>
        <w:rPr>
          <w:rFonts w:ascii="Open Sans" w:hAnsi="Open Sans" w:cs="Open Sans"/>
        </w:rPr>
        <w:t>rmed by a measurement framework</w:t>
      </w:r>
      <w:r w:rsidR="00FC1CC1" w:rsidRPr="00FC1CC1">
        <w:rPr>
          <w:rFonts w:ascii="Open Sans" w:hAnsi="Open Sans" w:cs="Open Sans"/>
        </w:rPr>
        <w:t xml:space="preserve"> which contains indicators that reflect the priorities of the institution(s) involved. </w:t>
      </w:r>
    </w:p>
    <w:p w:rsidR="002B1BE8" w:rsidRPr="00FC1CC1" w:rsidRDefault="00FC1CC1" w:rsidP="00740896">
      <w:pPr>
        <w:pStyle w:val="BodyText"/>
        <w:rPr>
          <w:rFonts w:ascii="Open Sans" w:hAnsi="Open Sans" w:cs="Open Sans"/>
        </w:rPr>
      </w:pPr>
      <w:r w:rsidRPr="00FC1CC1">
        <w:rPr>
          <w:rFonts w:ascii="Open Sans" w:hAnsi="Open Sans" w:cs="Open Sans"/>
        </w:rPr>
        <w:t>The survey will often consider indicators such as job and apprenticeship creation, support for the voluntary and community sector, staff volunteering, environmental impact, ensuring that employees are paid a fair or living wage, and the extent to</w:t>
      </w:r>
      <w:r w:rsidR="00C35E72">
        <w:rPr>
          <w:rFonts w:ascii="Open Sans" w:hAnsi="Open Sans" w:cs="Open Sans"/>
        </w:rPr>
        <w:t xml:space="preserve"> which suppliers are themselves</w:t>
      </w:r>
      <w:r w:rsidRPr="00FC1CC1">
        <w:rPr>
          <w:rFonts w:ascii="Open Sans" w:hAnsi="Open Sans" w:cs="Open Sans"/>
        </w:rPr>
        <w:t xml:space="preserve"> re-spending in the local economy</w:t>
      </w:r>
      <w:r w:rsidR="00C35E72">
        <w:rPr>
          <w:rFonts w:ascii="Open Sans" w:hAnsi="Open Sans" w:cs="Open Sans"/>
        </w:rPr>
        <w:t>,</w:t>
      </w:r>
      <w:r w:rsidRPr="00FC1CC1">
        <w:rPr>
          <w:rFonts w:ascii="Open Sans" w:hAnsi="Open Sans" w:cs="Open Sans"/>
        </w:rPr>
        <w:t xml:space="preserve"> for example.</w:t>
      </w:r>
      <w:r w:rsidR="001C3ABE">
        <w:rPr>
          <w:rFonts w:ascii="Open Sans" w:hAnsi="Open Sans" w:cs="Open Sans"/>
        </w:rPr>
        <w:t xml:space="preserve"> This analysis provides a springboard for pursuing activities with the local business base which promote more inclusive growth. </w:t>
      </w:r>
    </w:p>
    <w:p w:rsidR="00D97B0E" w:rsidRPr="00D97B0E" w:rsidRDefault="00421C47" w:rsidP="00D97B0E">
      <w:pPr>
        <w:pStyle w:val="Heading2"/>
        <w:rPr>
          <w:rFonts w:ascii="Open Sans" w:hAnsi="Open Sans" w:cs="Open Sans"/>
        </w:rPr>
      </w:pPr>
      <w:bookmarkStart w:id="46" w:name="_Toc495660157"/>
      <w:r w:rsidRPr="00801970">
        <w:rPr>
          <w:rFonts w:ascii="Open Sans" w:hAnsi="Open Sans" w:cs="Open Sans"/>
        </w:rPr>
        <w:t>Developing business citizenship</w:t>
      </w:r>
      <w:bookmarkEnd w:id="46"/>
      <w:r w:rsidRPr="00801970">
        <w:rPr>
          <w:rFonts w:ascii="Open Sans" w:hAnsi="Open Sans" w:cs="Open Sans"/>
        </w:rPr>
        <w:t xml:space="preserve"> </w:t>
      </w:r>
    </w:p>
    <w:p w:rsidR="00D97B0E" w:rsidRPr="00C35E72" w:rsidRDefault="00D97B0E" w:rsidP="00D97B0E">
      <w:pPr>
        <w:pStyle w:val="NoSpacing"/>
        <w:ind w:left="720"/>
        <w:rPr>
          <w:rStyle w:val="ColourCharacters"/>
        </w:rPr>
      </w:pPr>
      <w:r>
        <w:rPr>
          <w:rFonts w:ascii="Open Sans" w:hAnsi="Open Sans" w:cs="Open Sans"/>
        </w:rPr>
        <w:t>In CLES</w:t>
      </w:r>
      <w:r w:rsidR="00C35E72">
        <w:rPr>
          <w:rFonts w:ascii="Open Sans" w:hAnsi="Open Sans" w:cs="Open Sans"/>
        </w:rPr>
        <w:t>’</w:t>
      </w:r>
      <w:r>
        <w:rPr>
          <w:rFonts w:ascii="Open Sans" w:hAnsi="Open Sans" w:cs="Open Sans"/>
        </w:rPr>
        <w:t xml:space="preserve"> </w:t>
      </w:r>
      <w:r w:rsidRPr="00D97B0E">
        <w:rPr>
          <w:rFonts w:ascii="Open Sans" w:hAnsi="Open Sans" w:cs="Open Sans"/>
        </w:rPr>
        <w:t>work we engage and work with businesses—large and small. In this, we perceive a growing desire to do local social good. Many businesses already give and play a significant in role in the social and cultural welfare of places (e.g. local business support for a kids’ football team, or</w:t>
      </w:r>
      <w:r>
        <w:rPr>
          <w:rFonts w:ascii="Open Sans" w:hAnsi="Open Sans" w:cs="Open Sans"/>
        </w:rPr>
        <w:t xml:space="preserve"> support for local art festival</w:t>
      </w:r>
      <w:r w:rsidRPr="00D97B0E">
        <w:rPr>
          <w:rFonts w:ascii="Open Sans" w:hAnsi="Open Sans" w:cs="Open Sans"/>
        </w:rPr>
        <w:t xml:space="preserve">). But we need to find more </w:t>
      </w:r>
      <w:r w:rsidR="00C35E72" w:rsidRPr="00C35E72">
        <w:rPr>
          <w:rFonts w:ascii="Open Sans" w:hAnsi="Open Sans" w:cs="Open Sans"/>
        </w:rPr>
        <w:t>effective</w:t>
      </w:r>
      <w:r w:rsidRPr="00C35E72">
        <w:rPr>
          <w:rFonts w:ascii="Open Sans" w:hAnsi="Open Sans" w:cs="Open Sans"/>
        </w:rPr>
        <w:t xml:space="preserve"> ways of getting business to do even more social good. In work conducted for Preston</w:t>
      </w:r>
      <w:r w:rsidR="00C35E72" w:rsidRPr="00C35E72">
        <w:rPr>
          <w:rFonts w:ascii="Open Sans" w:hAnsi="Open Sans" w:cs="Open Sans"/>
        </w:rPr>
        <w:t xml:space="preserve"> City Council</w:t>
      </w:r>
      <w:r w:rsidRPr="00C35E72">
        <w:rPr>
          <w:rFonts w:ascii="Open Sans" w:hAnsi="Open Sans" w:cs="Open Sans"/>
        </w:rPr>
        <w:t xml:space="preserve"> we defined business citizenship as </w:t>
      </w:r>
      <w:r w:rsidR="00C35E72" w:rsidRPr="00C35E72">
        <w:rPr>
          <w:rStyle w:val="ColourCharacters"/>
          <w:rFonts w:ascii="Open Sans" w:hAnsi="Open Sans" w:cs="Open Sans"/>
        </w:rPr>
        <w:t>‘</w:t>
      </w:r>
      <w:r w:rsidRPr="00C35E72">
        <w:rPr>
          <w:rStyle w:val="ColourCharacters"/>
          <w:rFonts w:ascii="Open Sans" w:hAnsi="Open Sans" w:cs="Open Sans"/>
        </w:rPr>
        <w:t>a recognition that a business, corporation or business-like organisation, has social, cultural and environmental responsibilities to the community in which it seeks a licence to operate, as well as economic and financial ones to its sharehol</w:t>
      </w:r>
      <w:r w:rsidR="00C35E72" w:rsidRPr="00C35E72">
        <w:rPr>
          <w:rStyle w:val="ColourCharacters"/>
          <w:rFonts w:ascii="Open Sans" w:hAnsi="Open Sans" w:cs="Open Sans"/>
        </w:rPr>
        <w:t>ders or immediate stakeholders’.</w:t>
      </w:r>
    </w:p>
    <w:p w:rsidR="00881021" w:rsidRDefault="00881021" w:rsidP="00D97B0E">
      <w:pPr>
        <w:pStyle w:val="NoSpacing"/>
        <w:rPr>
          <w:rFonts w:ascii="Open Sans" w:hAnsi="Open Sans" w:cs="Open Sans"/>
        </w:rPr>
      </w:pPr>
    </w:p>
    <w:p w:rsidR="00B725AE" w:rsidRDefault="00D97B0E" w:rsidP="00EB3FF7">
      <w:pPr>
        <w:pStyle w:val="NoSpacing"/>
        <w:ind w:left="720"/>
        <w:rPr>
          <w:rFonts w:ascii="Open Sans" w:hAnsi="Open Sans" w:cs="Open Sans"/>
        </w:rPr>
      </w:pPr>
      <w:r>
        <w:rPr>
          <w:rFonts w:ascii="Open Sans" w:hAnsi="Open Sans" w:cs="Open Sans"/>
        </w:rPr>
        <w:t xml:space="preserve">Our research in this area </w:t>
      </w:r>
      <w:r w:rsidR="00B725AE" w:rsidRPr="00B725AE">
        <w:rPr>
          <w:rFonts w:ascii="Open Sans" w:hAnsi="Open Sans" w:cs="Open Sans"/>
        </w:rPr>
        <w:t>i</w:t>
      </w:r>
      <w:r>
        <w:rPr>
          <w:rFonts w:ascii="Open Sans" w:hAnsi="Open Sans" w:cs="Open Sans"/>
        </w:rPr>
        <w:t xml:space="preserve">ncluded recommendations around </w:t>
      </w:r>
      <w:r w:rsidR="00B725AE" w:rsidRPr="00B725AE">
        <w:rPr>
          <w:rFonts w:ascii="Open Sans" w:hAnsi="Open Sans" w:cs="Open Sans"/>
        </w:rPr>
        <w:t>developing a</w:t>
      </w:r>
      <w:r w:rsidR="00B725AE">
        <w:rPr>
          <w:rFonts w:ascii="Open Sans" w:hAnsi="Open Sans" w:cs="Open Sans"/>
        </w:rPr>
        <w:t xml:space="preserve"> </w:t>
      </w:r>
      <w:r w:rsidR="00B725AE" w:rsidRPr="00B725AE">
        <w:rPr>
          <w:rFonts w:ascii="Open Sans" w:hAnsi="Open Sans" w:cs="Open Sans"/>
        </w:rPr>
        <w:t>consistent approach to the language of social</w:t>
      </w:r>
      <w:r w:rsidR="00B725AE">
        <w:rPr>
          <w:rFonts w:ascii="Open Sans" w:hAnsi="Open Sans" w:cs="Open Sans"/>
        </w:rPr>
        <w:t xml:space="preserve"> </w:t>
      </w:r>
      <w:r w:rsidR="00B725AE" w:rsidRPr="00B725AE">
        <w:rPr>
          <w:rFonts w:ascii="Open Sans" w:hAnsi="Open Sans" w:cs="Open Sans"/>
        </w:rPr>
        <w:t>value; the production of a social value ‘how to’</w:t>
      </w:r>
      <w:r w:rsidR="00B725AE">
        <w:rPr>
          <w:rFonts w:ascii="Open Sans" w:hAnsi="Open Sans" w:cs="Open Sans"/>
        </w:rPr>
        <w:t xml:space="preserve"> </w:t>
      </w:r>
      <w:r w:rsidR="00B725AE" w:rsidRPr="00B725AE">
        <w:rPr>
          <w:rFonts w:ascii="Open Sans" w:hAnsi="Open Sans" w:cs="Open Sans"/>
        </w:rPr>
        <w:t>guide; and developing a local business mentoring</w:t>
      </w:r>
      <w:r>
        <w:rPr>
          <w:rFonts w:ascii="Open Sans" w:hAnsi="Open Sans" w:cs="Open Sans"/>
        </w:rPr>
        <w:t xml:space="preserve"> </w:t>
      </w:r>
      <w:r w:rsidR="00B725AE" w:rsidRPr="00B725AE">
        <w:rPr>
          <w:rFonts w:ascii="Open Sans" w:hAnsi="Open Sans" w:cs="Open Sans"/>
        </w:rPr>
        <w:t>scheme. T</w:t>
      </w:r>
      <w:r w:rsidR="00B725AE">
        <w:rPr>
          <w:rFonts w:ascii="Open Sans" w:hAnsi="Open Sans" w:cs="Open Sans"/>
        </w:rPr>
        <w:t>he cor</w:t>
      </w:r>
      <w:r w:rsidR="00EB3FF7">
        <w:rPr>
          <w:rFonts w:ascii="Open Sans" w:hAnsi="Open Sans" w:cs="Open Sans"/>
        </w:rPr>
        <w:t>e recommendation wa</w:t>
      </w:r>
      <w:r w:rsidR="00B725AE">
        <w:rPr>
          <w:rFonts w:ascii="Open Sans" w:hAnsi="Open Sans" w:cs="Open Sans"/>
        </w:rPr>
        <w:t xml:space="preserve">s around </w:t>
      </w:r>
      <w:r w:rsidR="00B725AE" w:rsidRPr="00B725AE">
        <w:rPr>
          <w:rFonts w:ascii="Open Sans" w:hAnsi="Open Sans" w:cs="Open Sans"/>
        </w:rPr>
        <w:t>the developm</w:t>
      </w:r>
      <w:r w:rsidR="00EB3FF7">
        <w:rPr>
          <w:rFonts w:ascii="Open Sans" w:hAnsi="Open Sans" w:cs="Open Sans"/>
        </w:rPr>
        <w:t>ent of a ‘Preston Pledge’ and</w:t>
      </w:r>
      <w:r w:rsidR="00B725AE" w:rsidRPr="00B725AE">
        <w:rPr>
          <w:rFonts w:ascii="Open Sans" w:hAnsi="Open Sans" w:cs="Open Sans"/>
        </w:rPr>
        <w:t xml:space="preserve"> CLES </w:t>
      </w:r>
      <w:r w:rsidR="00EB3FF7">
        <w:rPr>
          <w:rFonts w:ascii="Open Sans" w:hAnsi="Open Sans" w:cs="Open Sans"/>
        </w:rPr>
        <w:t>are</w:t>
      </w:r>
      <w:r w:rsidR="00B725AE" w:rsidRPr="00B725AE">
        <w:rPr>
          <w:rFonts w:ascii="Open Sans" w:hAnsi="Open Sans" w:cs="Open Sans"/>
        </w:rPr>
        <w:t xml:space="preserve"> work</w:t>
      </w:r>
      <w:r w:rsidR="00EB3FF7">
        <w:rPr>
          <w:rFonts w:ascii="Open Sans" w:hAnsi="Open Sans" w:cs="Open Sans"/>
        </w:rPr>
        <w:t>ing</w:t>
      </w:r>
      <w:r w:rsidR="00B725AE" w:rsidRPr="00B725AE">
        <w:rPr>
          <w:rFonts w:ascii="Open Sans" w:hAnsi="Open Sans" w:cs="Open Sans"/>
        </w:rPr>
        <w:t xml:space="preserve"> collaboratively with Preston</w:t>
      </w:r>
      <w:r w:rsidR="00B725AE">
        <w:rPr>
          <w:rFonts w:ascii="Open Sans" w:hAnsi="Open Sans" w:cs="Open Sans"/>
        </w:rPr>
        <w:t xml:space="preserve"> </w:t>
      </w:r>
      <w:r w:rsidR="00B725AE" w:rsidRPr="00B725AE">
        <w:rPr>
          <w:rFonts w:ascii="Open Sans" w:hAnsi="Open Sans" w:cs="Open Sans"/>
        </w:rPr>
        <w:t xml:space="preserve">City Council </w:t>
      </w:r>
      <w:r w:rsidR="00EB3FF7">
        <w:rPr>
          <w:rFonts w:ascii="Open Sans" w:hAnsi="Open Sans" w:cs="Open Sans"/>
        </w:rPr>
        <w:t xml:space="preserve">to develop the pledge </w:t>
      </w:r>
      <w:r w:rsidR="00B725AE" w:rsidRPr="00B725AE">
        <w:rPr>
          <w:rFonts w:ascii="Open Sans" w:hAnsi="Open Sans" w:cs="Open Sans"/>
        </w:rPr>
        <w:t>whereby businesses agree to:</w:t>
      </w:r>
    </w:p>
    <w:p w:rsidR="00B725AE" w:rsidRPr="00B725AE" w:rsidRDefault="00B725AE" w:rsidP="00B725AE">
      <w:pPr>
        <w:pStyle w:val="NoSpacing"/>
        <w:ind w:left="720"/>
        <w:rPr>
          <w:rFonts w:ascii="Open Sans" w:hAnsi="Open Sans" w:cs="Open Sans"/>
        </w:rPr>
      </w:pPr>
    </w:p>
    <w:p w:rsidR="00B725AE" w:rsidRPr="00B725AE" w:rsidRDefault="00B725AE" w:rsidP="00B725AE">
      <w:pPr>
        <w:pStyle w:val="ListBullet"/>
        <w:rPr>
          <w:rFonts w:ascii="Open Sans" w:hAnsi="Open Sans" w:cs="Open Sans"/>
        </w:rPr>
      </w:pPr>
      <w:r w:rsidRPr="00B725AE">
        <w:rPr>
          <w:rFonts w:ascii="Open Sans" w:hAnsi="Open Sans" w:cs="Open Sans"/>
        </w:rPr>
        <w:t>Optimise the social, environmental and economic well-being of Preston and its people across all activities of the business;</w:t>
      </w:r>
    </w:p>
    <w:p w:rsidR="00B725AE" w:rsidRPr="00B725AE" w:rsidRDefault="00B725AE" w:rsidP="00B725AE">
      <w:pPr>
        <w:pStyle w:val="ListBullet"/>
        <w:rPr>
          <w:rFonts w:ascii="Open Sans" w:hAnsi="Open Sans" w:cs="Open Sans"/>
        </w:rPr>
      </w:pPr>
      <w:r w:rsidRPr="00B725AE">
        <w:rPr>
          <w:rFonts w:ascii="Open Sans" w:hAnsi="Open Sans" w:cs="Open Sans"/>
        </w:rPr>
        <w:t>Shape decision making to think long-term – by focusing on local investment to create long-lasting outcomes;</w:t>
      </w:r>
    </w:p>
    <w:p w:rsidR="00B725AE" w:rsidRPr="00B725AE" w:rsidRDefault="00B725AE" w:rsidP="00B725AE">
      <w:pPr>
        <w:pStyle w:val="ListBullet"/>
        <w:rPr>
          <w:rFonts w:ascii="Open Sans" w:hAnsi="Open Sans" w:cs="Open Sans"/>
        </w:rPr>
      </w:pPr>
      <w:r w:rsidRPr="00B725AE">
        <w:rPr>
          <w:rFonts w:ascii="Open Sans" w:hAnsi="Open Sans" w:cs="Open Sans"/>
        </w:rPr>
        <w:t>Work in partnership across and within sectors across Preston to provide social value outcomes;</w:t>
      </w:r>
    </w:p>
    <w:p w:rsidR="00B725AE" w:rsidRPr="00B725AE" w:rsidRDefault="00B725AE" w:rsidP="00B725AE">
      <w:pPr>
        <w:pStyle w:val="ListBullet"/>
        <w:rPr>
          <w:rFonts w:ascii="Open Sans" w:hAnsi="Open Sans" w:cs="Open Sans"/>
        </w:rPr>
      </w:pPr>
      <w:r w:rsidRPr="00B725AE">
        <w:rPr>
          <w:rFonts w:ascii="Open Sans" w:hAnsi="Open Sans" w:cs="Open Sans"/>
        </w:rPr>
        <w:t xml:space="preserve">Commit to a set of concrete values which include inclusion, openness, honesty, and social responsibility.  </w:t>
      </w:r>
    </w:p>
    <w:p w:rsidR="00B725AE" w:rsidRDefault="00B725AE" w:rsidP="00801970">
      <w:pPr>
        <w:pStyle w:val="NoSpacing"/>
        <w:ind w:firstLine="720"/>
        <w:rPr>
          <w:rFonts w:ascii="Open Sans" w:hAnsi="Open Sans" w:cs="Open Sans"/>
        </w:rPr>
      </w:pPr>
    </w:p>
    <w:p w:rsidR="00D97B0E" w:rsidRDefault="00EB3FF7" w:rsidP="00EB3FF7">
      <w:pPr>
        <w:pStyle w:val="Heading2"/>
        <w:rPr>
          <w:rFonts w:ascii="Open Sans" w:hAnsi="Open Sans" w:cs="Open Sans"/>
        </w:rPr>
      </w:pPr>
      <w:bookmarkStart w:id="47" w:name="_Toc495660158"/>
      <w:r>
        <w:rPr>
          <w:rFonts w:ascii="Open Sans" w:hAnsi="Open Sans" w:cs="Open Sans"/>
        </w:rPr>
        <w:t>Local employment c</w:t>
      </w:r>
      <w:r w:rsidR="00D97B0E" w:rsidRPr="00EB3FF7">
        <w:rPr>
          <w:rFonts w:ascii="Open Sans" w:hAnsi="Open Sans" w:cs="Open Sans"/>
        </w:rPr>
        <w:t>harter</w:t>
      </w:r>
      <w:r>
        <w:rPr>
          <w:rFonts w:ascii="Open Sans" w:hAnsi="Open Sans" w:cs="Open Sans"/>
        </w:rPr>
        <w:t>s</w:t>
      </w:r>
      <w:bookmarkEnd w:id="47"/>
    </w:p>
    <w:p w:rsidR="00EB3FF7" w:rsidRPr="00EB3FF7" w:rsidRDefault="00EB3FF7" w:rsidP="00A4004D">
      <w:pPr>
        <w:pStyle w:val="BodyText"/>
        <w:rPr>
          <w:rFonts w:ascii="Open Sans" w:hAnsi="Open Sans" w:cs="Open Sans"/>
        </w:rPr>
      </w:pPr>
      <w:r w:rsidRPr="00EB3FF7">
        <w:rPr>
          <w:rFonts w:ascii="Open Sans" w:hAnsi="Open Sans" w:cs="Open Sans"/>
        </w:rPr>
        <w:t xml:space="preserve">In Oldham, a Fair Employment Charter </w:t>
      </w:r>
      <w:r w:rsidR="001C3ABE">
        <w:rPr>
          <w:rFonts w:ascii="Open Sans" w:hAnsi="Open Sans" w:cs="Open Sans"/>
        </w:rPr>
        <w:t>now</w:t>
      </w:r>
      <w:r w:rsidRPr="00EB3FF7">
        <w:rPr>
          <w:rFonts w:ascii="Open Sans" w:hAnsi="Open Sans" w:cs="Open Sans"/>
        </w:rPr>
        <w:t xml:space="preserve"> sets out the council’s expectations around what constitutes fair employment and is seen as a means to increase the number of good jobs availabl</w:t>
      </w:r>
      <w:r w:rsidR="007D774C">
        <w:rPr>
          <w:rFonts w:ascii="Open Sans" w:hAnsi="Open Sans" w:cs="Open Sans"/>
        </w:rPr>
        <w:t xml:space="preserve">e to residents. </w:t>
      </w:r>
      <w:r w:rsidRPr="00EB3FF7">
        <w:rPr>
          <w:rFonts w:ascii="Open Sans" w:hAnsi="Open Sans" w:cs="Open Sans"/>
        </w:rPr>
        <w:t xml:space="preserve">The Charter is a voluntary initiative that aims to engage businesses that employ people living in the borough. A key route for employer engagement has been the Get Oldham Working programme as well as inclusion in the Council’s social value procurement </w:t>
      </w:r>
      <w:r w:rsidR="00C35E72">
        <w:rPr>
          <w:rFonts w:ascii="Open Sans" w:hAnsi="Open Sans" w:cs="Open Sans"/>
        </w:rPr>
        <w:t>documents,</w:t>
      </w:r>
      <w:r w:rsidRPr="00EB3FF7">
        <w:rPr>
          <w:rFonts w:ascii="Open Sans" w:hAnsi="Open Sans" w:cs="Open Sans"/>
        </w:rPr>
        <w:t xml:space="preserve"> which encourages its suppliers to sign up to the charter.</w:t>
      </w:r>
      <w:r w:rsidRPr="00EB3FF7">
        <w:t xml:space="preserve"> </w:t>
      </w:r>
      <w:r w:rsidRPr="00EB3FF7">
        <w:rPr>
          <w:rFonts w:ascii="Open Sans" w:hAnsi="Open Sans" w:cs="Open Sans"/>
        </w:rPr>
        <w:t>Employers can sign up to the charter by completing an online application form which is then</w:t>
      </w:r>
      <w:r>
        <w:rPr>
          <w:rFonts w:ascii="Open Sans" w:hAnsi="Open Sans" w:cs="Open Sans"/>
        </w:rPr>
        <w:t xml:space="preserve"> </w:t>
      </w:r>
      <w:r w:rsidRPr="00EB3FF7">
        <w:rPr>
          <w:rFonts w:ascii="Open Sans" w:hAnsi="Open Sans" w:cs="Open Sans"/>
        </w:rPr>
        <w:t>reviewed by the council. Employers tick boxes to identify the fai</w:t>
      </w:r>
      <w:r>
        <w:rPr>
          <w:rFonts w:ascii="Open Sans" w:hAnsi="Open Sans" w:cs="Open Sans"/>
        </w:rPr>
        <w:t>r employment practices that the</w:t>
      </w:r>
      <w:r w:rsidR="00C35E72">
        <w:rPr>
          <w:rFonts w:ascii="Open Sans" w:hAnsi="Open Sans" w:cs="Open Sans"/>
        </w:rPr>
        <w:t>y</w:t>
      </w:r>
      <w:r>
        <w:rPr>
          <w:rFonts w:ascii="Open Sans" w:hAnsi="Open Sans" w:cs="Open Sans"/>
        </w:rPr>
        <w:t xml:space="preserve"> </w:t>
      </w:r>
      <w:r w:rsidRPr="00EB3FF7">
        <w:rPr>
          <w:rFonts w:ascii="Open Sans" w:hAnsi="Open Sans" w:cs="Open Sans"/>
        </w:rPr>
        <w:t>undertake across six key areas. They are then asked to provide further information to evidence</w:t>
      </w:r>
      <w:r>
        <w:rPr>
          <w:rFonts w:ascii="Open Sans" w:hAnsi="Open Sans" w:cs="Open Sans"/>
        </w:rPr>
        <w:t xml:space="preserve"> </w:t>
      </w:r>
      <w:r w:rsidRPr="00EB3FF7">
        <w:rPr>
          <w:rFonts w:ascii="Open Sans" w:hAnsi="Open Sans" w:cs="Open Sans"/>
        </w:rPr>
        <w:t>their commitment. The six types of commitment are:</w:t>
      </w:r>
    </w:p>
    <w:p w:rsidR="00EB3FF7" w:rsidRPr="00EB3FF7" w:rsidRDefault="00EB3FF7" w:rsidP="00EB3FF7">
      <w:pPr>
        <w:pStyle w:val="ListBullet"/>
        <w:rPr>
          <w:rFonts w:ascii="Open Sans" w:hAnsi="Open Sans" w:cs="Open Sans"/>
        </w:rPr>
      </w:pPr>
      <w:r w:rsidRPr="00EB3FF7">
        <w:rPr>
          <w:rFonts w:ascii="Open Sans" w:hAnsi="Open Sans" w:cs="Open Sans"/>
        </w:rPr>
        <w:t>Paying the living wage to all employees;</w:t>
      </w:r>
    </w:p>
    <w:p w:rsidR="00EB3FF7" w:rsidRPr="00EB3FF7" w:rsidRDefault="00EB3FF7" w:rsidP="00EB3FF7">
      <w:pPr>
        <w:pStyle w:val="ListBullet"/>
        <w:rPr>
          <w:rFonts w:ascii="Open Sans" w:hAnsi="Open Sans" w:cs="Open Sans"/>
        </w:rPr>
      </w:pPr>
      <w:r w:rsidRPr="00EB3FF7">
        <w:rPr>
          <w:rFonts w:ascii="Open Sans" w:hAnsi="Open Sans" w:cs="Open Sans"/>
        </w:rPr>
        <w:t>Offering fair contracts and stable employment;</w:t>
      </w:r>
    </w:p>
    <w:p w:rsidR="00EB3FF7" w:rsidRPr="00EB3FF7" w:rsidRDefault="00EB3FF7" w:rsidP="00EB3FF7">
      <w:pPr>
        <w:pStyle w:val="ListBullet"/>
        <w:rPr>
          <w:rFonts w:ascii="Open Sans" w:hAnsi="Open Sans" w:cs="Open Sans"/>
        </w:rPr>
      </w:pPr>
      <w:r w:rsidRPr="00EB3FF7">
        <w:rPr>
          <w:rFonts w:ascii="Open Sans" w:hAnsi="Open Sans" w:cs="Open Sans"/>
        </w:rPr>
        <w:t>Offering access to training and support;</w:t>
      </w:r>
    </w:p>
    <w:p w:rsidR="00EB3FF7" w:rsidRPr="00EB3FF7" w:rsidRDefault="00EB3FF7" w:rsidP="00EB3FF7">
      <w:pPr>
        <w:pStyle w:val="ListBullet"/>
        <w:rPr>
          <w:rFonts w:ascii="Open Sans" w:hAnsi="Open Sans" w:cs="Open Sans"/>
        </w:rPr>
      </w:pPr>
      <w:r w:rsidRPr="00EB3FF7">
        <w:rPr>
          <w:rFonts w:ascii="Open Sans" w:hAnsi="Open Sans" w:cs="Open Sans"/>
        </w:rPr>
        <w:t>Supporting membership of trade unions;</w:t>
      </w:r>
    </w:p>
    <w:p w:rsidR="00EB3FF7" w:rsidRPr="00EB3FF7" w:rsidRDefault="00EB3FF7" w:rsidP="00EB3FF7">
      <w:pPr>
        <w:pStyle w:val="ListBullet"/>
        <w:rPr>
          <w:rFonts w:ascii="Open Sans" w:hAnsi="Open Sans" w:cs="Open Sans"/>
        </w:rPr>
      </w:pPr>
      <w:r w:rsidRPr="00EB3FF7">
        <w:rPr>
          <w:rFonts w:ascii="Open Sans" w:hAnsi="Open Sans" w:cs="Open Sans"/>
        </w:rPr>
        <w:t>Enabling and encouraging employees to contribute to the community</w:t>
      </w:r>
      <w:r w:rsidR="00C35E72">
        <w:rPr>
          <w:rFonts w:ascii="Open Sans" w:hAnsi="Open Sans" w:cs="Open Sans"/>
        </w:rPr>
        <w:t>;</w:t>
      </w:r>
    </w:p>
    <w:p w:rsidR="00801970" w:rsidRDefault="00EB3FF7" w:rsidP="00EB3FF7">
      <w:pPr>
        <w:pStyle w:val="ListBullet"/>
        <w:rPr>
          <w:rFonts w:ascii="Open Sans" w:hAnsi="Open Sans" w:cs="Open Sans"/>
        </w:rPr>
      </w:pPr>
      <w:r w:rsidRPr="00EB3FF7">
        <w:rPr>
          <w:rFonts w:ascii="Open Sans" w:hAnsi="Open Sans" w:cs="Open Sans"/>
        </w:rPr>
        <w:t xml:space="preserve">Supporting </w:t>
      </w:r>
      <w:r w:rsidR="00C35E72">
        <w:rPr>
          <w:rFonts w:ascii="Open Sans" w:hAnsi="Open Sans" w:cs="Open Sans"/>
        </w:rPr>
        <w:t>local people into work through Get Oldham Working</w:t>
      </w:r>
      <w:r w:rsidRPr="00EB3FF7">
        <w:rPr>
          <w:rFonts w:ascii="Open Sans" w:hAnsi="Open Sans" w:cs="Open Sans"/>
        </w:rPr>
        <w:t>.</w:t>
      </w:r>
    </w:p>
    <w:p w:rsidR="007D774C" w:rsidRDefault="007D774C" w:rsidP="007D774C">
      <w:pPr>
        <w:pStyle w:val="ListBullet"/>
        <w:numPr>
          <w:ilvl w:val="0"/>
          <w:numId w:val="0"/>
        </w:numPr>
        <w:ind w:left="1304" w:hanging="584"/>
        <w:rPr>
          <w:rFonts w:ascii="Open Sans" w:hAnsi="Open Sans" w:cs="Open Sans"/>
        </w:rPr>
      </w:pPr>
    </w:p>
    <w:p w:rsidR="007D774C" w:rsidRPr="00A4004D" w:rsidRDefault="007D774C" w:rsidP="00A4004D">
      <w:pPr>
        <w:pStyle w:val="BodyText"/>
        <w:spacing w:after="0" w:line="240" w:lineRule="auto"/>
        <w:rPr>
          <w:rFonts w:ascii="Open Sans" w:hAnsi="Open Sans" w:cs="Open Sans"/>
        </w:rPr>
      </w:pPr>
      <w:r w:rsidRPr="00A4004D">
        <w:rPr>
          <w:rFonts w:ascii="Open Sans" w:hAnsi="Open Sans" w:cs="Open Sans"/>
        </w:rPr>
        <w:t>The council is looking to link the charter to the business support offer that will be made available through the Eur</w:t>
      </w:r>
      <w:r w:rsidR="00A4004D" w:rsidRPr="00A4004D">
        <w:rPr>
          <w:rFonts w:ascii="Open Sans" w:hAnsi="Open Sans" w:cs="Open Sans"/>
        </w:rPr>
        <w:t xml:space="preserve">opean Regional Development Fund as a way of incentivising a shift in business behaviour. </w:t>
      </w:r>
    </w:p>
    <w:p w:rsidR="00EB3FF7" w:rsidRPr="00EB3FF7" w:rsidRDefault="00EB3FF7" w:rsidP="00EB3FF7">
      <w:pPr>
        <w:pStyle w:val="ListBullet"/>
        <w:numPr>
          <w:ilvl w:val="0"/>
          <w:numId w:val="0"/>
        </w:numPr>
        <w:ind w:left="1304"/>
      </w:pPr>
    </w:p>
    <w:p w:rsidR="00421C47" w:rsidRDefault="00421C47" w:rsidP="00801970">
      <w:pPr>
        <w:pStyle w:val="Heading2"/>
        <w:rPr>
          <w:rFonts w:ascii="Open Sans" w:hAnsi="Open Sans" w:cs="Open Sans"/>
        </w:rPr>
      </w:pPr>
      <w:bookmarkStart w:id="48" w:name="_Toc495660159"/>
      <w:r w:rsidRPr="00801970">
        <w:rPr>
          <w:rFonts w:ascii="Open Sans" w:hAnsi="Open Sans" w:cs="Open Sans"/>
        </w:rPr>
        <w:t>Promote take-up of business l</w:t>
      </w:r>
      <w:r w:rsidR="00695044">
        <w:rPr>
          <w:rFonts w:ascii="Open Sans" w:hAnsi="Open Sans" w:cs="Open Sans"/>
        </w:rPr>
        <w:t>eadership and management skills</w:t>
      </w:r>
      <w:bookmarkEnd w:id="48"/>
    </w:p>
    <w:p w:rsidR="00D97B0E" w:rsidRPr="00D97B0E" w:rsidRDefault="00D97B0E" w:rsidP="00D97B0E">
      <w:pPr>
        <w:pStyle w:val="BodyText"/>
        <w:rPr>
          <w:rFonts w:ascii="Open Sans" w:hAnsi="Open Sans" w:cs="Open Sans"/>
        </w:rPr>
      </w:pPr>
      <w:r>
        <w:rPr>
          <w:rFonts w:ascii="Open Sans" w:hAnsi="Open Sans" w:cs="Open Sans"/>
        </w:rPr>
        <w:t>CLES</w:t>
      </w:r>
      <w:r w:rsidRPr="00D97B0E">
        <w:rPr>
          <w:rFonts w:ascii="Open Sans" w:hAnsi="Open Sans" w:cs="Open Sans"/>
        </w:rPr>
        <w:t xml:space="preserve"> worked in partnership with Barnsley Council to prepare a local Employment and Skills Strategy for ‘More and Better Jobs’.</w:t>
      </w:r>
      <w:r w:rsidR="00FE2438">
        <w:rPr>
          <w:rStyle w:val="FootnoteReference"/>
          <w:rFonts w:ascii="Open Sans" w:hAnsi="Open Sans" w:cs="Open Sans"/>
        </w:rPr>
        <w:footnoteReference w:id="8"/>
      </w:r>
      <w:r w:rsidRPr="00D97B0E">
        <w:rPr>
          <w:rFonts w:ascii="Open Sans" w:hAnsi="Open Sans" w:cs="Open Sans"/>
        </w:rPr>
        <w:t xml:space="preserve"> The extensive research and analysis produced a concise, credible and action oriented strategy to deliver sustainable business growth and better skills, employment and progression opportunities for local people. </w:t>
      </w:r>
    </w:p>
    <w:p w:rsidR="001C3ABE" w:rsidRDefault="00D97B0E" w:rsidP="00D97B0E">
      <w:pPr>
        <w:pStyle w:val="BodyText"/>
        <w:rPr>
          <w:rFonts w:ascii="Open Sans" w:hAnsi="Open Sans" w:cs="Open Sans"/>
        </w:rPr>
      </w:pPr>
      <w:r w:rsidRPr="00D97B0E">
        <w:rPr>
          <w:rFonts w:ascii="Open Sans" w:hAnsi="Open Sans" w:cs="Open Sans"/>
        </w:rPr>
        <w:t xml:space="preserve">The </w:t>
      </w:r>
      <w:r w:rsidR="00A4004D">
        <w:rPr>
          <w:rFonts w:ascii="Open Sans" w:hAnsi="Open Sans" w:cs="Open Sans"/>
        </w:rPr>
        <w:t>s</w:t>
      </w:r>
      <w:r w:rsidRPr="00D97B0E">
        <w:rPr>
          <w:rFonts w:ascii="Open Sans" w:hAnsi="Open Sans" w:cs="Open Sans"/>
        </w:rPr>
        <w:t>trategy focuses on the quality as well as the quantity of job opportunities</w:t>
      </w:r>
      <w:r w:rsidR="00A4004D">
        <w:rPr>
          <w:rFonts w:ascii="Open Sans" w:hAnsi="Open Sans" w:cs="Open Sans"/>
        </w:rPr>
        <w:t>, looking at</w:t>
      </w:r>
      <w:r w:rsidRPr="00D97B0E">
        <w:rPr>
          <w:rFonts w:ascii="Open Sans" w:hAnsi="Open Sans" w:cs="Open Sans"/>
        </w:rPr>
        <w:t xml:space="preserve"> how the economy benefits people through more and better jobs</w:t>
      </w:r>
      <w:r w:rsidR="00755A87">
        <w:rPr>
          <w:rFonts w:ascii="Open Sans" w:hAnsi="Open Sans" w:cs="Open Sans"/>
        </w:rPr>
        <w:t>,</w:t>
      </w:r>
      <w:r w:rsidRPr="00D97B0E">
        <w:rPr>
          <w:rFonts w:ascii="Open Sans" w:hAnsi="Open Sans" w:cs="Open Sans"/>
        </w:rPr>
        <w:t xml:space="preserve"> as well as how skilled people support the economy. Outside of the public sector, the important employment sectors in Barnsley are manufacturing,</w:t>
      </w:r>
      <w:r w:rsidR="004D2B9E">
        <w:rPr>
          <w:rFonts w:ascii="Open Sans" w:hAnsi="Open Sans" w:cs="Open Sans"/>
        </w:rPr>
        <w:t xml:space="preserve"> logistics, construction, but also</w:t>
      </w:r>
      <w:r w:rsidRPr="00D97B0E">
        <w:rPr>
          <w:rFonts w:ascii="Open Sans" w:hAnsi="Open Sans" w:cs="Open Sans"/>
        </w:rPr>
        <w:t xml:space="preserve"> wholesale, retail</w:t>
      </w:r>
      <w:r w:rsidR="004D2B9E">
        <w:rPr>
          <w:rFonts w:ascii="Open Sans" w:hAnsi="Open Sans" w:cs="Open Sans"/>
        </w:rPr>
        <w:t xml:space="preserve"> and</w:t>
      </w:r>
      <w:r w:rsidRPr="00D97B0E">
        <w:rPr>
          <w:rFonts w:ascii="Open Sans" w:hAnsi="Open Sans" w:cs="Open Sans"/>
        </w:rPr>
        <w:t xml:space="preserve"> business services</w:t>
      </w:r>
      <w:r w:rsidR="00A4004D">
        <w:rPr>
          <w:rFonts w:ascii="Open Sans" w:hAnsi="Open Sans" w:cs="Open Sans"/>
        </w:rPr>
        <w:t xml:space="preserve"> – </w:t>
      </w:r>
      <w:r w:rsidR="004D2B9E">
        <w:rPr>
          <w:rFonts w:ascii="Open Sans" w:hAnsi="Open Sans" w:cs="Open Sans"/>
        </w:rPr>
        <w:t xml:space="preserve">more of </w:t>
      </w:r>
      <w:r w:rsidR="00A4004D">
        <w:rPr>
          <w:rFonts w:ascii="Open Sans" w:hAnsi="Open Sans" w:cs="Open Sans"/>
        </w:rPr>
        <w:t>the foundational economy</w:t>
      </w:r>
      <w:r w:rsidRPr="00D97B0E">
        <w:rPr>
          <w:rFonts w:ascii="Open Sans" w:hAnsi="Open Sans" w:cs="Open Sans"/>
        </w:rPr>
        <w:t>.</w:t>
      </w:r>
      <w:r w:rsidR="004D2B9E">
        <w:rPr>
          <w:rStyle w:val="FootnoteReference"/>
          <w:rFonts w:ascii="Open Sans" w:hAnsi="Open Sans" w:cs="Open Sans"/>
        </w:rPr>
        <w:footnoteReference w:id="9"/>
      </w:r>
      <w:r w:rsidRPr="00D97B0E">
        <w:rPr>
          <w:rFonts w:ascii="Open Sans" w:hAnsi="Open Sans" w:cs="Open Sans"/>
        </w:rPr>
        <w:t xml:space="preserve"> Low wage sectors dominate the economy, with nearly half of all employed residents working in lower level occupations. </w:t>
      </w:r>
    </w:p>
    <w:p w:rsidR="00D97B0E" w:rsidRPr="00D97B0E" w:rsidRDefault="00D97B0E" w:rsidP="00D97B0E">
      <w:pPr>
        <w:pStyle w:val="BodyText"/>
        <w:rPr>
          <w:rFonts w:ascii="Open Sans" w:hAnsi="Open Sans" w:cs="Open Sans"/>
        </w:rPr>
      </w:pPr>
      <w:r w:rsidRPr="00D97B0E">
        <w:rPr>
          <w:rFonts w:ascii="Open Sans" w:hAnsi="Open Sans" w:cs="Open Sans"/>
        </w:rPr>
        <w:t xml:space="preserve">A key priority therefore within the strategy is for businesses to be encouraged to grow, </w:t>
      </w:r>
      <w:r w:rsidR="00755A87">
        <w:rPr>
          <w:rFonts w:ascii="Open Sans" w:hAnsi="Open Sans" w:cs="Open Sans"/>
        </w:rPr>
        <w:t>develop</w:t>
      </w:r>
      <w:r w:rsidRPr="00D97B0E">
        <w:rPr>
          <w:rFonts w:ascii="Open Sans" w:hAnsi="Open Sans" w:cs="Open Sans"/>
        </w:rPr>
        <w:t xml:space="preserve"> their</w:t>
      </w:r>
      <w:r w:rsidR="00755A87">
        <w:rPr>
          <w:rFonts w:ascii="Open Sans" w:hAnsi="Open Sans" w:cs="Open Sans"/>
        </w:rPr>
        <w:t xml:space="preserve"> employees skills</w:t>
      </w:r>
      <w:r w:rsidRPr="00D97B0E">
        <w:rPr>
          <w:rFonts w:ascii="Open Sans" w:hAnsi="Open Sans" w:cs="Open Sans"/>
        </w:rPr>
        <w:t xml:space="preserve"> and raise their ambitions. For Barnsley’s economy to achieve its full potential for growth, it is critical that more businesses recognise the value of skills, especially at higher levels, communicate clearly which skills they need and invest in the development of their staff. </w:t>
      </w:r>
      <w:r w:rsidR="00FE2438">
        <w:rPr>
          <w:rFonts w:ascii="Open Sans" w:hAnsi="Open Sans" w:cs="Open Sans"/>
        </w:rPr>
        <w:t>The strategy sets out the following priorities for investing in</w:t>
      </w:r>
      <w:r w:rsidR="00FE2438" w:rsidRPr="00FE2438">
        <w:t xml:space="preserve"> </w:t>
      </w:r>
      <w:r w:rsidR="00FE2438" w:rsidRPr="00FE2438">
        <w:rPr>
          <w:rFonts w:ascii="Open Sans" w:hAnsi="Open Sans" w:cs="Open Sans"/>
        </w:rPr>
        <w:t>business leadership and management skills</w:t>
      </w:r>
      <w:r w:rsidR="00FE2438">
        <w:rPr>
          <w:rFonts w:ascii="Open Sans" w:hAnsi="Open Sans" w:cs="Open Sans"/>
        </w:rPr>
        <w:t xml:space="preserve">:  </w:t>
      </w:r>
    </w:p>
    <w:p w:rsidR="00D97B0E" w:rsidRPr="00FE2438" w:rsidRDefault="00D97B0E" w:rsidP="00FE2438">
      <w:pPr>
        <w:pStyle w:val="ListBullet"/>
        <w:rPr>
          <w:rFonts w:ascii="Open Sans" w:hAnsi="Open Sans" w:cs="Open Sans"/>
        </w:rPr>
      </w:pPr>
      <w:r w:rsidRPr="00FE2438">
        <w:rPr>
          <w:rFonts w:ascii="Open Sans" w:hAnsi="Open Sans" w:cs="Open Sans"/>
        </w:rPr>
        <w:t>Promote the business case for investing in skills and development to stimulate progressive career opportunitie</w:t>
      </w:r>
      <w:r w:rsidR="00A4004D">
        <w:rPr>
          <w:rFonts w:ascii="Open Sans" w:hAnsi="Open Sans" w:cs="Open Sans"/>
        </w:rPr>
        <w:t>s and long-term business growth;</w:t>
      </w:r>
    </w:p>
    <w:p w:rsidR="00D97B0E" w:rsidRPr="00FE2438" w:rsidRDefault="00D97B0E" w:rsidP="00FE2438">
      <w:pPr>
        <w:pStyle w:val="ListBullet"/>
        <w:rPr>
          <w:rFonts w:ascii="Open Sans" w:hAnsi="Open Sans" w:cs="Open Sans"/>
        </w:rPr>
      </w:pPr>
      <w:r w:rsidRPr="00FE2438">
        <w:rPr>
          <w:rFonts w:ascii="Open Sans" w:hAnsi="Open Sans" w:cs="Open Sans"/>
        </w:rPr>
        <w:t>Work with businesses in priority sectors to make the case for progression and to explore practical solutions such as sector-based skills escalators, progression pathways and learnin</w:t>
      </w:r>
      <w:r w:rsidR="00A4004D">
        <w:rPr>
          <w:rFonts w:ascii="Open Sans" w:hAnsi="Open Sans" w:cs="Open Sans"/>
        </w:rPr>
        <w:t>g tie-ins/future job guarantees;</w:t>
      </w:r>
    </w:p>
    <w:p w:rsidR="00D97B0E" w:rsidRPr="00FE2438" w:rsidRDefault="00D97B0E" w:rsidP="00FE2438">
      <w:pPr>
        <w:pStyle w:val="ListBullet"/>
        <w:rPr>
          <w:rFonts w:ascii="Open Sans" w:hAnsi="Open Sans" w:cs="Open Sans"/>
        </w:rPr>
      </w:pPr>
      <w:r w:rsidRPr="00FE2438">
        <w:rPr>
          <w:rFonts w:ascii="Open Sans" w:hAnsi="Open Sans" w:cs="Open Sans"/>
        </w:rPr>
        <w:t>Work across sectors to share best practice and embed bu</w:t>
      </w:r>
      <w:r w:rsidR="00A4004D">
        <w:rPr>
          <w:rFonts w:ascii="Open Sans" w:hAnsi="Open Sans" w:cs="Open Sans"/>
        </w:rPr>
        <w:t>siness-to-business peer support;</w:t>
      </w:r>
    </w:p>
    <w:p w:rsidR="00D97B0E" w:rsidRPr="00FE2438" w:rsidRDefault="00D97B0E" w:rsidP="00FE2438">
      <w:pPr>
        <w:pStyle w:val="ListBullet"/>
        <w:rPr>
          <w:rFonts w:ascii="Open Sans" w:hAnsi="Open Sans" w:cs="Open Sans"/>
        </w:rPr>
      </w:pPr>
      <w:r w:rsidRPr="00FE2438">
        <w:rPr>
          <w:rFonts w:ascii="Open Sans" w:hAnsi="Open Sans" w:cs="Open Sans"/>
        </w:rPr>
        <w:t>Proactively promote take-up of business leadership and management skills.</w:t>
      </w:r>
    </w:p>
    <w:p w:rsidR="00421C47" w:rsidRPr="00740896" w:rsidRDefault="00421C47" w:rsidP="00421C47">
      <w:pPr>
        <w:pStyle w:val="Heading1"/>
        <w:rPr>
          <w:rFonts w:ascii="Open Sans" w:hAnsi="Open Sans" w:cs="Open Sans"/>
        </w:rPr>
      </w:pPr>
      <w:bookmarkStart w:id="49" w:name="_Toc495660160"/>
      <w:r w:rsidRPr="00740896">
        <w:rPr>
          <w:rFonts w:ascii="Open Sans" w:hAnsi="Open Sans" w:cs="Open Sans"/>
        </w:rPr>
        <w:t xml:space="preserve">Stimulating new local </w:t>
      </w:r>
      <w:r w:rsidR="004B74D6" w:rsidRPr="00740896">
        <w:rPr>
          <w:rFonts w:ascii="Open Sans" w:hAnsi="Open Sans" w:cs="Open Sans"/>
        </w:rPr>
        <w:t>social</w:t>
      </w:r>
      <w:r w:rsidR="003715B5" w:rsidRPr="00740896">
        <w:rPr>
          <w:rFonts w:ascii="Open Sans" w:hAnsi="Open Sans" w:cs="Open Sans"/>
        </w:rPr>
        <w:t xml:space="preserve"> </w:t>
      </w:r>
      <w:r w:rsidRPr="00740896">
        <w:rPr>
          <w:rFonts w:ascii="Open Sans" w:hAnsi="Open Sans" w:cs="Open Sans"/>
        </w:rPr>
        <w:t>business</w:t>
      </w:r>
      <w:bookmarkEnd w:id="49"/>
    </w:p>
    <w:p w:rsidR="003715B5" w:rsidRPr="00862A05" w:rsidRDefault="00862A05" w:rsidP="003715B5">
      <w:pPr>
        <w:pStyle w:val="BodyText"/>
        <w:rPr>
          <w:rFonts w:ascii="Open Sans" w:hAnsi="Open Sans" w:cs="Open Sans"/>
        </w:rPr>
      </w:pPr>
      <w:r>
        <w:rPr>
          <w:rFonts w:ascii="Open Sans" w:hAnsi="Open Sans" w:cs="Open Sans"/>
        </w:rPr>
        <w:t>The development of an anchor institution strategy which brings together a detailed understanding of local procurement spend,</w:t>
      </w:r>
      <w:r w:rsidR="00F81783">
        <w:rPr>
          <w:rFonts w:ascii="Open Sans" w:hAnsi="Open Sans" w:cs="Open Sans"/>
        </w:rPr>
        <w:t xml:space="preserve"> combined with local</w:t>
      </w:r>
      <w:r>
        <w:rPr>
          <w:rFonts w:ascii="Open Sans" w:hAnsi="Open Sans" w:cs="Open Sans"/>
        </w:rPr>
        <w:t xml:space="preserve"> land and assets,</w:t>
      </w:r>
      <w:r w:rsidR="00F81783">
        <w:rPr>
          <w:rFonts w:ascii="Open Sans" w:hAnsi="Open Sans" w:cs="Open Sans"/>
        </w:rPr>
        <w:t xml:space="preserve"> and the</w:t>
      </w:r>
      <w:r>
        <w:rPr>
          <w:rFonts w:ascii="Open Sans" w:hAnsi="Open Sans" w:cs="Open Sans"/>
        </w:rPr>
        <w:t xml:space="preserve"> training and employment</w:t>
      </w:r>
      <w:r w:rsidR="00F81783">
        <w:rPr>
          <w:rFonts w:ascii="Open Sans" w:hAnsi="Open Sans" w:cs="Open Sans"/>
        </w:rPr>
        <w:t xml:space="preserve"> opportunities available across institutions</w:t>
      </w:r>
      <w:r w:rsidR="00740896">
        <w:rPr>
          <w:rFonts w:ascii="Open Sans" w:hAnsi="Open Sans" w:cs="Open Sans"/>
        </w:rPr>
        <w:t>,</w:t>
      </w:r>
      <w:r w:rsidR="00F81783">
        <w:rPr>
          <w:rFonts w:ascii="Open Sans" w:hAnsi="Open Sans" w:cs="Open Sans"/>
        </w:rPr>
        <w:t xml:space="preserve"> offers huge potential to stimulate the development of </w:t>
      </w:r>
      <w:r w:rsidR="00451479" w:rsidRPr="00451479">
        <w:rPr>
          <w:rFonts w:ascii="Open Sans" w:hAnsi="Open Sans" w:cs="Open Sans"/>
        </w:rPr>
        <w:t xml:space="preserve">new </w:t>
      </w:r>
      <w:r w:rsidR="00451479">
        <w:rPr>
          <w:rFonts w:ascii="Open Sans" w:hAnsi="Open Sans" w:cs="Open Sans"/>
        </w:rPr>
        <w:t xml:space="preserve">approaches to creating </w:t>
      </w:r>
      <w:r w:rsidR="00451479" w:rsidRPr="00451479">
        <w:rPr>
          <w:rFonts w:ascii="Open Sans" w:hAnsi="Open Sans" w:cs="Open Sans"/>
        </w:rPr>
        <w:t>more virtuous local economies</w:t>
      </w:r>
      <w:r w:rsidR="00451479">
        <w:rPr>
          <w:rFonts w:ascii="Open Sans" w:hAnsi="Open Sans" w:cs="Open Sans"/>
        </w:rPr>
        <w:t xml:space="preserve"> </w:t>
      </w:r>
      <w:r w:rsidR="008A5DE0">
        <w:rPr>
          <w:rFonts w:ascii="Open Sans" w:hAnsi="Open Sans" w:cs="Open Sans"/>
        </w:rPr>
        <w:t>from within.</w:t>
      </w:r>
      <w:r w:rsidR="00ED4AC6">
        <w:rPr>
          <w:rFonts w:ascii="Open Sans" w:hAnsi="Open Sans" w:cs="Open Sans"/>
        </w:rPr>
        <w:t xml:space="preserve"> </w:t>
      </w:r>
    </w:p>
    <w:p w:rsidR="00421C47" w:rsidRDefault="00421C47" w:rsidP="00695044">
      <w:pPr>
        <w:pStyle w:val="Heading2"/>
        <w:rPr>
          <w:rFonts w:ascii="Open Sans" w:hAnsi="Open Sans" w:cs="Open Sans"/>
        </w:rPr>
      </w:pPr>
      <w:bookmarkStart w:id="50" w:name="_Toc495660161"/>
      <w:r w:rsidRPr="00695044">
        <w:rPr>
          <w:rFonts w:ascii="Open Sans" w:hAnsi="Open Sans" w:cs="Open Sans"/>
        </w:rPr>
        <w:t xml:space="preserve">Developing </w:t>
      </w:r>
      <w:r w:rsidR="003715B5">
        <w:rPr>
          <w:rFonts w:ascii="Open Sans" w:hAnsi="Open Sans" w:cs="Open Sans"/>
        </w:rPr>
        <w:t xml:space="preserve">social </w:t>
      </w:r>
      <w:r w:rsidR="00F81783">
        <w:rPr>
          <w:rFonts w:ascii="Open Sans" w:hAnsi="Open Sans" w:cs="Open Sans"/>
        </w:rPr>
        <w:t>business models</w:t>
      </w:r>
      <w:bookmarkEnd w:id="50"/>
    </w:p>
    <w:p w:rsidR="00CA3F2F" w:rsidRPr="00CA3F2F" w:rsidRDefault="003715B5" w:rsidP="003715B5">
      <w:pPr>
        <w:pStyle w:val="BodyText"/>
        <w:rPr>
          <w:rFonts w:ascii="Open Sans" w:hAnsi="Open Sans" w:cs="Open Sans"/>
        </w:rPr>
      </w:pPr>
      <w:r w:rsidRPr="003715B5">
        <w:rPr>
          <w:rFonts w:ascii="Open Sans" w:hAnsi="Open Sans" w:cs="Open Sans"/>
        </w:rPr>
        <w:t xml:space="preserve">While </w:t>
      </w:r>
      <w:r>
        <w:rPr>
          <w:rFonts w:ascii="Open Sans" w:hAnsi="Open Sans" w:cs="Open Sans"/>
        </w:rPr>
        <w:t>community wealth building provides greater opportunity for local private businesses to grow</w:t>
      </w:r>
      <w:r w:rsidRPr="003715B5">
        <w:rPr>
          <w:rFonts w:ascii="Open Sans" w:hAnsi="Open Sans" w:cs="Open Sans"/>
        </w:rPr>
        <w:t xml:space="preserve">, </w:t>
      </w:r>
      <w:r>
        <w:rPr>
          <w:rFonts w:ascii="Open Sans" w:hAnsi="Open Sans" w:cs="Open Sans"/>
        </w:rPr>
        <w:t xml:space="preserve">it also provides an opportunity to stimulate the development of </w:t>
      </w:r>
      <w:r w:rsidRPr="003715B5">
        <w:rPr>
          <w:rFonts w:ascii="Open Sans" w:hAnsi="Open Sans" w:cs="Open Sans"/>
        </w:rPr>
        <w:t xml:space="preserve">social business models </w:t>
      </w:r>
      <w:r>
        <w:rPr>
          <w:rFonts w:ascii="Open Sans" w:hAnsi="Open Sans" w:cs="Open Sans"/>
        </w:rPr>
        <w:t xml:space="preserve">which </w:t>
      </w:r>
      <w:r w:rsidR="00755A87">
        <w:rPr>
          <w:rFonts w:ascii="Open Sans" w:hAnsi="Open Sans" w:cs="Open Sans"/>
        </w:rPr>
        <w:t>retain rather than extract</w:t>
      </w:r>
      <w:r>
        <w:rPr>
          <w:rFonts w:ascii="Open Sans" w:hAnsi="Open Sans" w:cs="Open Sans"/>
        </w:rPr>
        <w:t xml:space="preserve"> the wealth created. There are a wide range of social business models </w:t>
      </w:r>
      <w:r w:rsidRPr="003715B5">
        <w:rPr>
          <w:rFonts w:ascii="Open Sans" w:hAnsi="Open Sans" w:cs="Open Sans"/>
        </w:rPr>
        <w:t>including social enterprises, co-operatives, community businesses, credit unions, charities,</w:t>
      </w:r>
      <w:r w:rsidR="00755A87">
        <w:rPr>
          <w:rFonts w:ascii="Open Sans" w:hAnsi="Open Sans" w:cs="Open Sans"/>
        </w:rPr>
        <w:t xml:space="preserve"> and c</w:t>
      </w:r>
      <w:r w:rsidRPr="003715B5">
        <w:rPr>
          <w:rFonts w:ascii="Open Sans" w:hAnsi="Open Sans" w:cs="Open Sans"/>
        </w:rPr>
        <w:t>ommun</w:t>
      </w:r>
      <w:r w:rsidR="00755A87">
        <w:rPr>
          <w:rFonts w:ascii="Open Sans" w:hAnsi="Open Sans" w:cs="Open Sans"/>
        </w:rPr>
        <w:t>ity interest c</w:t>
      </w:r>
      <w:r w:rsidRPr="003715B5">
        <w:rPr>
          <w:rFonts w:ascii="Open Sans" w:hAnsi="Open Sans" w:cs="Open Sans"/>
        </w:rPr>
        <w:t>ompanies.</w:t>
      </w:r>
      <w:r>
        <w:rPr>
          <w:rFonts w:ascii="Open Sans" w:hAnsi="Open Sans" w:cs="Open Sans"/>
        </w:rPr>
        <w:t xml:space="preserve"> These models of business typically give their workers a greate</w:t>
      </w:r>
      <w:r w:rsidR="00755A87">
        <w:rPr>
          <w:rFonts w:ascii="Open Sans" w:hAnsi="Open Sans" w:cs="Open Sans"/>
        </w:rPr>
        <w:t>r stake in the wealth generated. They also</w:t>
      </w:r>
      <w:r>
        <w:rPr>
          <w:rFonts w:ascii="Open Sans" w:hAnsi="Open Sans" w:cs="Open Sans"/>
        </w:rPr>
        <w:t xml:space="preserve"> help to create </w:t>
      </w:r>
      <w:r w:rsidR="00A17B79" w:rsidRPr="00A17B79">
        <w:rPr>
          <w:rFonts w:ascii="Open Sans" w:hAnsi="Open Sans" w:cs="Open Sans"/>
        </w:rPr>
        <w:t>more</w:t>
      </w:r>
      <w:r w:rsidR="00A17B79">
        <w:rPr>
          <w:rFonts w:ascii="Open Sans" w:hAnsi="Open Sans" w:cs="Open Sans"/>
        </w:rPr>
        <w:t xml:space="preserve"> </w:t>
      </w:r>
      <w:r w:rsidR="00A17B79" w:rsidRPr="00A17B79">
        <w:rPr>
          <w:rFonts w:ascii="Open Sans" w:hAnsi="Open Sans" w:cs="Open Sans"/>
        </w:rPr>
        <w:t>resilient</w:t>
      </w:r>
      <w:r>
        <w:rPr>
          <w:rFonts w:ascii="Open Sans" w:hAnsi="Open Sans" w:cs="Open Sans"/>
        </w:rPr>
        <w:t xml:space="preserve"> communities than co</w:t>
      </w:r>
      <w:r w:rsidR="00A17B79" w:rsidRPr="00A17B79">
        <w:rPr>
          <w:rFonts w:ascii="Open Sans" w:hAnsi="Open Sans" w:cs="Open Sans"/>
        </w:rPr>
        <w:t xml:space="preserve">nventionally owned businesses </w:t>
      </w:r>
      <w:r>
        <w:rPr>
          <w:rFonts w:ascii="Open Sans" w:hAnsi="Open Sans" w:cs="Open Sans"/>
        </w:rPr>
        <w:t>through a</w:t>
      </w:r>
      <w:r w:rsidR="00A17B79" w:rsidRPr="00A17B79">
        <w:rPr>
          <w:rFonts w:ascii="Open Sans" w:hAnsi="Open Sans" w:cs="Open Sans"/>
        </w:rPr>
        <w:t xml:space="preserve"> co-operative emphasis on employment, human interaction and social</w:t>
      </w:r>
      <w:r w:rsidR="00A17B79">
        <w:rPr>
          <w:rFonts w:ascii="Open Sans" w:hAnsi="Open Sans" w:cs="Open Sans"/>
        </w:rPr>
        <w:t xml:space="preserve"> </w:t>
      </w:r>
      <w:r w:rsidR="00A17B79" w:rsidRPr="00A17B79">
        <w:rPr>
          <w:rFonts w:ascii="Open Sans" w:hAnsi="Open Sans" w:cs="Open Sans"/>
        </w:rPr>
        <w:t xml:space="preserve">ends rather than financial </w:t>
      </w:r>
      <w:r w:rsidR="00A17B79" w:rsidRPr="003715B5">
        <w:rPr>
          <w:rFonts w:ascii="Open Sans" w:hAnsi="Open Sans" w:cs="Open Sans"/>
        </w:rPr>
        <w:t>profit.</w:t>
      </w:r>
      <w:r w:rsidR="00ED4AC6" w:rsidRPr="003715B5">
        <w:rPr>
          <w:rFonts w:ascii="Open Sans" w:hAnsi="Open Sans" w:cs="Open Sans"/>
        </w:rPr>
        <w:t xml:space="preserve"> </w:t>
      </w:r>
      <w:r w:rsidRPr="003715B5">
        <w:rPr>
          <w:rFonts w:ascii="Open Sans" w:hAnsi="Open Sans" w:cs="Open Sans"/>
        </w:rPr>
        <w:t>As hybrid forms of business organisation, t</w:t>
      </w:r>
      <w:r w:rsidR="00ED4AC6" w:rsidRPr="003715B5">
        <w:rPr>
          <w:rFonts w:ascii="Open Sans" w:hAnsi="Open Sans" w:cs="Open Sans"/>
        </w:rPr>
        <w:t xml:space="preserve">hey provide a mechanism </w:t>
      </w:r>
      <w:r w:rsidRPr="003715B5">
        <w:rPr>
          <w:rFonts w:ascii="Open Sans" w:hAnsi="Open Sans" w:cs="Open Sans"/>
        </w:rPr>
        <w:t>for linking the social economy</w:t>
      </w:r>
      <w:r w:rsidR="00ED4AC6" w:rsidRPr="003715B5">
        <w:rPr>
          <w:rFonts w:ascii="Open Sans" w:hAnsi="Open Sans" w:cs="Open Sans"/>
        </w:rPr>
        <w:t xml:space="preserve"> to the wider marketplace</w:t>
      </w:r>
      <w:r>
        <w:rPr>
          <w:rFonts w:ascii="Open Sans" w:hAnsi="Open Sans" w:cs="Open Sans"/>
        </w:rPr>
        <w:t xml:space="preserve"> and therefore can contribute to more inclusive growth</w:t>
      </w:r>
      <w:r w:rsidR="00ED4AC6" w:rsidRPr="003715B5">
        <w:rPr>
          <w:rFonts w:ascii="Open Sans" w:hAnsi="Open Sans" w:cs="Open Sans"/>
        </w:rPr>
        <w:t>.</w:t>
      </w:r>
      <w:r w:rsidR="00ED4AC6" w:rsidRPr="00ED4AC6">
        <w:t xml:space="preserve"> </w:t>
      </w:r>
    </w:p>
    <w:p w:rsidR="00C84493" w:rsidRPr="00971A02" w:rsidRDefault="00451479" w:rsidP="00CA3F2F">
      <w:pPr>
        <w:pStyle w:val="BodyText"/>
        <w:rPr>
          <w:rFonts w:ascii="Open Sans" w:hAnsi="Open Sans" w:cs="Open Sans"/>
        </w:rPr>
      </w:pPr>
      <w:r>
        <w:rPr>
          <w:rFonts w:ascii="Open Sans" w:hAnsi="Open Sans" w:cs="Open Sans"/>
        </w:rPr>
        <w:t xml:space="preserve">Mondragón </w:t>
      </w:r>
      <w:r w:rsidRPr="00451479">
        <w:rPr>
          <w:rFonts w:ascii="Open Sans" w:hAnsi="Open Sans" w:cs="Open Sans"/>
        </w:rPr>
        <w:t xml:space="preserve">in </w:t>
      </w:r>
      <w:r>
        <w:rPr>
          <w:rFonts w:ascii="Open Sans" w:hAnsi="Open Sans" w:cs="Open Sans"/>
        </w:rPr>
        <w:t xml:space="preserve">the </w:t>
      </w:r>
      <w:r w:rsidRPr="00451479">
        <w:rPr>
          <w:rFonts w:ascii="Open Sans" w:hAnsi="Open Sans" w:cs="Open Sans"/>
        </w:rPr>
        <w:t xml:space="preserve">Basque </w:t>
      </w:r>
      <w:r>
        <w:rPr>
          <w:rFonts w:ascii="Open Sans" w:hAnsi="Open Sans" w:cs="Open Sans"/>
        </w:rPr>
        <w:t xml:space="preserve">region of </w:t>
      </w:r>
      <w:r w:rsidRPr="00451479">
        <w:rPr>
          <w:rFonts w:ascii="Open Sans" w:hAnsi="Open Sans" w:cs="Open Sans"/>
        </w:rPr>
        <w:t>Spain</w:t>
      </w:r>
      <w:r w:rsidRPr="00451479">
        <w:t xml:space="preserve"> </w:t>
      </w:r>
      <w:r w:rsidRPr="00451479">
        <w:rPr>
          <w:rFonts w:ascii="Open Sans" w:hAnsi="Open Sans" w:cs="Open Sans"/>
        </w:rPr>
        <w:t>is best known as the birthplace of the Mondragón Cooperative Corporation (MCC)</w:t>
      </w:r>
      <w:r w:rsidR="004B74D6">
        <w:rPr>
          <w:rStyle w:val="FootnoteReference"/>
          <w:rFonts w:ascii="Open Sans" w:hAnsi="Open Sans" w:cs="Open Sans"/>
        </w:rPr>
        <w:footnoteReference w:id="10"/>
      </w:r>
      <w:r w:rsidRPr="00451479">
        <w:rPr>
          <w:rFonts w:ascii="Open Sans" w:hAnsi="Open Sans" w:cs="Open Sans"/>
        </w:rPr>
        <w:t>, the world's largest worker cooperative</w:t>
      </w:r>
      <w:r w:rsidR="00BF56C0">
        <w:rPr>
          <w:rFonts w:ascii="Open Sans" w:hAnsi="Open Sans" w:cs="Open Sans"/>
        </w:rPr>
        <w:t xml:space="preserve">. </w:t>
      </w:r>
      <w:r w:rsidR="00C84493" w:rsidRPr="00971A02">
        <w:rPr>
          <w:rFonts w:ascii="Open Sans" w:hAnsi="Open Sans" w:cs="Open Sans"/>
        </w:rPr>
        <w:t xml:space="preserve">This model is based </w:t>
      </w:r>
      <w:r w:rsidR="00971A02" w:rsidRPr="00971A02">
        <w:rPr>
          <w:rFonts w:ascii="Open Sans" w:hAnsi="Open Sans" w:cs="Open Sans"/>
        </w:rPr>
        <w:t xml:space="preserve">around the notion of developing </w:t>
      </w:r>
      <w:r w:rsidR="00C84493" w:rsidRPr="00971A02">
        <w:rPr>
          <w:rFonts w:ascii="Open Sans" w:hAnsi="Open Sans" w:cs="Open Sans"/>
        </w:rPr>
        <w:t>from within, through the creation of worker led</w:t>
      </w:r>
      <w:r w:rsidR="00971A02" w:rsidRPr="00971A02">
        <w:rPr>
          <w:rFonts w:ascii="Open Sans" w:hAnsi="Open Sans" w:cs="Open Sans"/>
        </w:rPr>
        <w:t xml:space="preserve"> </w:t>
      </w:r>
      <w:r w:rsidR="00C84493" w:rsidRPr="00971A02">
        <w:rPr>
          <w:rFonts w:ascii="Open Sans" w:hAnsi="Open Sans" w:cs="Open Sans"/>
        </w:rPr>
        <w:t>cooperatives to deliver key aspects of public services</w:t>
      </w:r>
      <w:r w:rsidR="00971A02" w:rsidRPr="00971A02">
        <w:rPr>
          <w:rFonts w:ascii="Open Sans" w:hAnsi="Open Sans" w:cs="Open Sans"/>
        </w:rPr>
        <w:t xml:space="preserve"> </w:t>
      </w:r>
      <w:r w:rsidR="00C84493" w:rsidRPr="00971A02">
        <w:rPr>
          <w:rFonts w:ascii="Open Sans" w:hAnsi="Open Sans" w:cs="Open Sans"/>
        </w:rPr>
        <w:t>and provide other goods for the local population;</w:t>
      </w:r>
      <w:r w:rsidR="00971A02" w:rsidRPr="00971A02">
        <w:rPr>
          <w:rFonts w:ascii="Open Sans" w:hAnsi="Open Sans" w:cs="Open Sans"/>
        </w:rPr>
        <w:t xml:space="preserve"> </w:t>
      </w:r>
      <w:r w:rsidR="00C84493" w:rsidRPr="00971A02">
        <w:rPr>
          <w:rFonts w:ascii="Open Sans" w:hAnsi="Open Sans" w:cs="Open Sans"/>
        </w:rPr>
        <w:t>creating jobs and enterprise in the process.</w:t>
      </w:r>
    </w:p>
    <w:p w:rsidR="00C84493" w:rsidRDefault="00BF56C0" w:rsidP="00BF56C0">
      <w:pPr>
        <w:pStyle w:val="BodyText"/>
        <w:rPr>
          <w:rFonts w:ascii="Open Sans" w:hAnsi="Open Sans" w:cs="Open Sans"/>
        </w:rPr>
      </w:pPr>
      <w:r>
        <w:rPr>
          <w:rFonts w:ascii="Open Sans" w:hAnsi="Open Sans" w:cs="Open Sans"/>
        </w:rPr>
        <w:t>I</w:t>
      </w:r>
      <w:r w:rsidR="00971A02" w:rsidRPr="00971A02">
        <w:rPr>
          <w:rFonts w:ascii="Open Sans" w:hAnsi="Open Sans" w:cs="Open Sans"/>
        </w:rPr>
        <w:t>n Cleveland</w:t>
      </w:r>
      <w:r>
        <w:rPr>
          <w:rFonts w:ascii="Open Sans" w:hAnsi="Open Sans" w:cs="Open Sans"/>
        </w:rPr>
        <w:t xml:space="preserve">, Ohio a similar </w:t>
      </w:r>
      <w:r w:rsidRPr="00BF56C0">
        <w:rPr>
          <w:rFonts w:ascii="Open Sans" w:hAnsi="Open Sans" w:cs="Open Sans"/>
        </w:rPr>
        <w:t>notion of developing from within</w:t>
      </w:r>
      <w:r w:rsidR="00971A02" w:rsidRPr="00971A02">
        <w:rPr>
          <w:rFonts w:ascii="Open Sans" w:hAnsi="Open Sans" w:cs="Open Sans"/>
        </w:rPr>
        <w:t xml:space="preserve"> </w:t>
      </w:r>
      <w:r w:rsidR="00C84493" w:rsidRPr="00971A02">
        <w:rPr>
          <w:rFonts w:ascii="Open Sans" w:hAnsi="Open Sans" w:cs="Open Sans"/>
        </w:rPr>
        <w:t>has</w:t>
      </w:r>
      <w:r>
        <w:rPr>
          <w:rFonts w:ascii="Open Sans" w:hAnsi="Open Sans" w:cs="Open Sans"/>
        </w:rPr>
        <w:t xml:space="preserve"> been combined with </w:t>
      </w:r>
      <w:r w:rsidR="00C84493" w:rsidRPr="00971A02">
        <w:rPr>
          <w:rFonts w:ascii="Open Sans" w:hAnsi="Open Sans" w:cs="Open Sans"/>
        </w:rPr>
        <w:t>the engagement of anchor institutions and</w:t>
      </w:r>
      <w:r w:rsidR="00971A02" w:rsidRPr="00971A02">
        <w:rPr>
          <w:rFonts w:ascii="Open Sans" w:hAnsi="Open Sans" w:cs="Open Sans"/>
        </w:rPr>
        <w:t xml:space="preserve"> </w:t>
      </w:r>
      <w:r w:rsidR="00C84493" w:rsidRPr="00971A02">
        <w:rPr>
          <w:rFonts w:ascii="Open Sans" w:hAnsi="Open Sans" w:cs="Open Sans"/>
        </w:rPr>
        <w:t>encouraging them to think about their procurement</w:t>
      </w:r>
      <w:r w:rsidR="00971A02" w:rsidRPr="00971A02">
        <w:rPr>
          <w:rFonts w:ascii="Open Sans" w:hAnsi="Open Sans" w:cs="Open Sans"/>
        </w:rPr>
        <w:t xml:space="preserve"> </w:t>
      </w:r>
      <w:r w:rsidR="00C84493" w:rsidRPr="00971A02">
        <w:rPr>
          <w:rFonts w:ascii="Open Sans" w:hAnsi="Open Sans" w:cs="Open Sans"/>
        </w:rPr>
        <w:t>practices: firstly in terms of utilising local suppliers;</w:t>
      </w:r>
      <w:r w:rsidR="00971A02" w:rsidRPr="00971A02">
        <w:rPr>
          <w:rFonts w:ascii="Open Sans" w:hAnsi="Open Sans" w:cs="Open Sans"/>
        </w:rPr>
        <w:t xml:space="preserve"> </w:t>
      </w:r>
      <w:r w:rsidR="00C84493" w:rsidRPr="00971A02">
        <w:rPr>
          <w:rFonts w:ascii="Open Sans" w:hAnsi="Open Sans" w:cs="Open Sans"/>
        </w:rPr>
        <w:t>and secondly in terms of the scope for newly forme</w:t>
      </w:r>
      <w:r>
        <w:rPr>
          <w:rFonts w:ascii="Open Sans" w:hAnsi="Open Sans" w:cs="Open Sans"/>
        </w:rPr>
        <w:t>d</w:t>
      </w:r>
      <w:r w:rsidR="00971A02" w:rsidRPr="00971A02">
        <w:rPr>
          <w:rFonts w:ascii="Open Sans" w:hAnsi="Open Sans" w:cs="Open Sans"/>
        </w:rPr>
        <w:t xml:space="preserve"> </w:t>
      </w:r>
      <w:r w:rsidR="00C84493" w:rsidRPr="00971A02">
        <w:rPr>
          <w:rFonts w:ascii="Open Sans" w:hAnsi="Open Sans" w:cs="Open Sans"/>
        </w:rPr>
        <w:t>cooperatives to deliver services and provide goods.</w:t>
      </w:r>
      <w:r>
        <w:rPr>
          <w:rFonts w:ascii="Open Sans" w:hAnsi="Open Sans" w:cs="Open Sans"/>
        </w:rPr>
        <w:t xml:space="preserve"> </w:t>
      </w:r>
      <w:r w:rsidR="00C84493" w:rsidRPr="00971A02">
        <w:rPr>
          <w:rFonts w:ascii="Open Sans" w:hAnsi="Open Sans" w:cs="Open Sans"/>
        </w:rPr>
        <w:t xml:space="preserve">The </w:t>
      </w:r>
      <w:r w:rsidRPr="00BF56C0">
        <w:rPr>
          <w:rFonts w:ascii="Open Sans" w:hAnsi="Open Sans" w:cs="Open Sans"/>
        </w:rPr>
        <w:t>Cle</w:t>
      </w:r>
      <w:r>
        <w:rPr>
          <w:rFonts w:ascii="Open Sans" w:hAnsi="Open Sans" w:cs="Open Sans"/>
        </w:rPr>
        <w:t>veland Evergreen Co-operatives</w:t>
      </w:r>
      <w:r w:rsidR="004B74D6">
        <w:rPr>
          <w:rStyle w:val="FootnoteReference"/>
          <w:rFonts w:ascii="Open Sans" w:hAnsi="Open Sans" w:cs="Open Sans"/>
        </w:rPr>
        <w:footnoteReference w:id="11"/>
      </w:r>
      <w:r w:rsidRPr="00BF56C0">
        <w:rPr>
          <w:rFonts w:ascii="Open Sans" w:hAnsi="Open Sans" w:cs="Open Sans"/>
        </w:rPr>
        <w:t xml:space="preserve"> </w:t>
      </w:r>
      <w:r w:rsidR="00C84493" w:rsidRPr="00971A02">
        <w:rPr>
          <w:rFonts w:ascii="Open Sans" w:hAnsi="Open Sans" w:cs="Open Sans"/>
        </w:rPr>
        <w:t>model has</w:t>
      </w:r>
      <w:r w:rsidR="00A32F30">
        <w:rPr>
          <w:rFonts w:ascii="Open Sans" w:hAnsi="Open Sans" w:cs="Open Sans"/>
        </w:rPr>
        <w:t xml:space="preserve"> </w:t>
      </w:r>
      <w:r w:rsidR="00971A02" w:rsidRPr="00971A02">
        <w:rPr>
          <w:rFonts w:ascii="Open Sans" w:hAnsi="Open Sans" w:cs="Open Sans"/>
        </w:rPr>
        <w:t>successful</w:t>
      </w:r>
      <w:r w:rsidR="00A32F30">
        <w:rPr>
          <w:rFonts w:ascii="Open Sans" w:hAnsi="Open Sans" w:cs="Open Sans"/>
        </w:rPr>
        <w:t xml:space="preserve">ly supported new </w:t>
      </w:r>
      <w:r w:rsidR="00971A02" w:rsidRPr="00971A02">
        <w:rPr>
          <w:rFonts w:ascii="Open Sans" w:hAnsi="Open Sans" w:cs="Open Sans"/>
        </w:rPr>
        <w:t xml:space="preserve">cooperatives </w:t>
      </w:r>
      <w:r w:rsidR="00755A87">
        <w:rPr>
          <w:rFonts w:ascii="Open Sans" w:hAnsi="Open Sans" w:cs="Open Sans"/>
        </w:rPr>
        <w:t xml:space="preserve">which are </w:t>
      </w:r>
      <w:r w:rsidR="00C84493" w:rsidRPr="00971A02">
        <w:rPr>
          <w:rFonts w:ascii="Open Sans" w:hAnsi="Open Sans" w:cs="Open Sans"/>
        </w:rPr>
        <w:t>now delivering laundry, energy and catering services</w:t>
      </w:r>
      <w:r w:rsidR="00971A02" w:rsidRPr="00971A02">
        <w:rPr>
          <w:rFonts w:ascii="Open Sans" w:hAnsi="Open Sans" w:cs="Open Sans"/>
        </w:rPr>
        <w:t xml:space="preserve"> </w:t>
      </w:r>
      <w:r w:rsidR="00C84493" w:rsidRPr="00971A02">
        <w:rPr>
          <w:rFonts w:ascii="Open Sans" w:hAnsi="Open Sans" w:cs="Open Sans"/>
        </w:rPr>
        <w:t>for a number of anchor institutions, including</w:t>
      </w:r>
      <w:r w:rsidR="00971A02" w:rsidRPr="00971A02">
        <w:rPr>
          <w:rFonts w:ascii="Open Sans" w:hAnsi="Open Sans" w:cs="Open Sans"/>
        </w:rPr>
        <w:t xml:space="preserve"> </w:t>
      </w:r>
      <w:r>
        <w:rPr>
          <w:rFonts w:ascii="Open Sans" w:hAnsi="Open Sans" w:cs="Open Sans"/>
        </w:rPr>
        <w:t>universities and hospitals</w:t>
      </w:r>
      <w:r w:rsidR="00C84493" w:rsidRPr="00971A02">
        <w:rPr>
          <w:rFonts w:ascii="Open Sans" w:hAnsi="Open Sans" w:cs="Open Sans"/>
        </w:rPr>
        <w:t xml:space="preserve">. </w:t>
      </w:r>
    </w:p>
    <w:p w:rsidR="00BF56C0" w:rsidRPr="00BF56C0" w:rsidRDefault="00BF56C0" w:rsidP="000D3BFF">
      <w:pPr>
        <w:pStyle w:val="BodyText"/>
        <w:rPr>
          <w:rFonts w:ascii="Open Sans" w:hAnsi="Open Sans" w:cs="Open Sans"/>
        </w:rPr>
      </w:pPr>
      <w:r>
        <w:rPr>
          <w:rFonts w:ascii="Open Sans" w:hAnsi="Open Sans" w:cs="Open Sans"/>
        </w:rPr>
        <w:t xml:space="preserve">Preston </w:t>
      </w:r>
      <w:r w:rsidRPr="00BF56C0">
        <w:rPr>
          <w:rFonts w:ascii="Open Sans" w:hAnsi="Open Sans" w:cs="Open Sans"/>
        </w:rPr>
        <w:t xml:space="preserve">committed to </w:t>
      </w:r>
      <w:r>
        <w:rPr>
          <w:rFonts w:ascii="Open Sans" w:hAnsi="Open Sans" w:cs="Open Sans"/>
        </w:rPr>
        <w:t xml:space="preserve">supporting the development of a </w:t>
      </w:r>
      <w:r w:rsidRPr="00BF56C0">
        <w:rPr>
          <w:rFonts w:ascii="Open Sans" w:hAnsi="Open Sans" w:cs="Open Sans"/>
        </w:rPr>
        <w:t>Preston Cooperatives Network</w:t>
      </w:r>
      <w:r w:rsidR="005E5E00">
        <w:rPr>
          <w:rStyle w:val="FootnoteReference"/>
          <w:rFonts w:ascii="Open Sans" w:hAnsi="Open Sans" w:cs="Open Sans"/>
        </w:rPr>
        <w:footnoteReference w:id="12"/>
      </w:r>
      <w:r>
        <w:rPr>
          <w:rFonts w:ascii="Open Sans" w:hAnsi="Open Sans" w:cs="Open Sans"/>
        </w:rPr>
        <w:t xml:space="preserve"> in 2011. W</w:t>
      </w:r>
      <w:r w:rsidRPr="00BF56C0">
        <w:rPr>
          <w:rFonts w:ascii="Open Sans" w:hAnsi="Open Sans" w:cs="Open Sans"/>
        </w:rPr>
        <w:t>orking</w:t>
      </w:r>
      <w:r>
        <w:rPr>
          <w:rFonts w:ascii="Open Sans" w:hAnsi="Open Sans" w:cs="Open Sans"/>
        </w:rPr>
        <w:t xml:space="preserve"> alongside CLES,</w:t>
      </w:r>
      <w:r w:rsidRPr="00BF56C0">
        <w:rPr>
          <w:rFonts w:ascii="Open Sans" w:hAnsi="Open Sans" w:cs="Open Sans"/>
        </w:rPr>
        <w:t xml:space="preserve"> Co-operative</w:t>
      </w:r>
      <w:r>
        <w:rPr>
          <w:rFonts w:ascii="Open Sans" w:hAnsi="Open Sans" w:cs="Open Sans"/>
        </w:rPr>
        <w:t>s</w:t>
      </w:r>
      <w:r w:rsidRPr="00BF56C0">
        <w:rPr>
          <w:rFonts w:ascii="Open Sans" w:hAnsi="Open Sans" w:cs="Open Sans"/>
        </w:rPr>
        <w:t xml:space="preserve"> UK, Co-operative</w:t>
      </w:r>
      <w:r>
        <w:rPr>
          <w:rFonts w:ascii="Open Sans" w:hAnsi="Open Sans" w:cs="Open Sans"/>
        </w:rPr>
        <w:t>s</w:t>
      </w:r>
      <w:r w:rsidRPr="00BF56C0">
        <w:rPr>
          <w:rFonts w:ascii="Open Sans" w:hAnsi="Open Sans" w:cs="Open Sans"/>
        </w:rPr>
        <w:t xml:space="preserve"> NW, </w:t>
      </w:r>
      <w:r>
        <w:rPr>
          <w:rFonts w:ascii="Open Sans" w:hAnsi="Open Sans" w:cs="Open Sans"/>
        </w:rPr>
        <w:t>Preston aim to promote co-operative</w:t>
      </w:r>
      <w:r w:rsidRPr="00BF56C0">
        <w:rPr>
          <w:rFonts w:ascii="Open Sans" w:hAnsi="Open Sans" w:cs="Open Sans"/>
        </w:rPr>
        <w:t xml:space="preserve"> </w:t>
      </w:r>
      <w:r w:rsidR="00A32F30">
        <w:rPr>
          <w:rFonts w:ascii="Open Sans" w:hAnsi="Open Sans" w:cs="Open Sans"/>
        </w:rPr>
        <w:t>development and</w:t>
      </w:r>
      <w:r>
        <w:rPr>
          <w:rFonts w:ascii="Open Sans" w:hAnsi="Open Sans" w:cs="Open Sans"/>
        </w:rPr>
        <w:t xml:space="preserve"> support </w:t>
      </w:r>
      <w:r w:rsidRPr="00BF56C0">
        <w:rPr>
          <w:rFonts w:ascii="Open Sans" w:hAnsi="Open Sans" w:cs="Open Sans"/>
        </w:rPr>
        <w:t>new worker owned businesse</w:t>
      </w:r>
      <w:r>
        <w:rPr>
          <w:rFonts w:ascii="Open Sans" w:hAnsi="Open Sans" w:cs="Open Sans"/>
        </w:rPr>
        <w:t>s to fill</w:t>
      </w:r>
      <w:r w:rsidRPr="00BF56C0">
        <w:rPr>
          <w:rFonts w:ascii="Open Sans" w:hAnsi="Open Sans" w:cs="Open Sans"/>
        </w:rPr>
        <w:t xml:space="preserve"> gaps identified</w:t>
      </w:r>
      <w:r>
        <w:rPr>
          <w:rFonts w:ascii="Open Sans" w:hAnsi="Open Sans" w:cs="Open Sans"/>
        </w:rPr>
        <w:t xml:space="preserve">, </w:t>
      </w:r>
      <w:r w:rsidR="00A32F30">
        <w:rPr>
          <w:rFonts w:ascii="Open Sans" w:hAnsi="Open Sans" w:cs="Open Sans"/>
        </w:rPr>
        <w:t xml:space="preserve">while also supporting business owners </w:t>
      </w:r>
      <w:r w:rsidRPr="00BF56C0">
        <w:rPr>
          <w:rFonts w:ascii="Open Sans" w:hAnsi="Open Sans" w:cs="Open Sans"/>
        </w:rPr>
        <w:t>to sell the</w:t>
      </w:r>
      <w:r w:rsidR="00A32F30">
        <w:rPr>
          <w:rFonts w:ascii="Open Sans" w:hAnsi="Open Sans" w:cs="Open Sans"/>
        </w:rPr>
        <w:t>ir</w:t>
      </w:r>
      <w:r w:rsidRPr="00BF56C0">
        <w:rPr>
          <w:rFonts w:ascii="Open Sans" w:hAnsi="Open Sans" w:cs="Open Sans"/>
        </w:rPr>
        <w:t xml:space="preserve"> business to the</w:t>
      </w:r>
      <w:r w:rsidR="00A32F30">
        <w:rPr>
          <w:rFonts w:ascii="Open Sans" w:hAnsi="Open Sans" w:cs="Open Sans"/>
        </w:rPr>
        <w:t>ir</w:t>
      </w:r>
      <w:r w:rsidRPr="00BF56C0">
        <w:rPr>
          <w:rFonts w:ascii="Open Sans" w:hAnsi="Open Sans" w:cs="Open Sans"/>
        </w:rPr>
        <w:t xml:space="preserve"> e</w:t>
      </w:r>
      <w:r w:rsidR="000D3BFF">
        <w:rPr>
          <w:rFonts w:ascii="Open Sans" w:hAnsi="Open Sans" w:cs="Open Sans"/>
        </w:rPr>
        <w:t>mployees when the owner retires.</w:t>
      </w:r>
      <w:r w:rsidR="000D3BFF">
        <w:rPr>
          <w:rStyle w:val="FootnoteReference"/>
          <w:rFonts w:ascii="Open Sans" w:hAnsi="Open Sans" w:cs="Open Sans"/>
        </w:rPr>
        <w:footnoteReference w:id="13"/>
      </w:r>
      <w:r w:rsidR="000D3BFF">
        <w:rPr>
          <w:rFonts w:ascii="Open Sans" w:hAnsi="Open Sans" w:cs="Open Sans"/>
        </w:rPr>
        <w:t xml:space="preserve"> The</w:t>
      </w:r>
      <w:r w:rsidRPr="00BF56C0">
        <w:rPr>
          <w:rFonts w:ascii="Open Sans" w:hAnsi="Open Sans" w:cs="Open Sans"/>
        </w:rPr>
        <w:t xml:space="preserve"> Guild Money Credit Union</w:t>
      </w:r>
      <w:r w:rsidR="000D3BFF">
        <w:rPr>
          <w:rFonts w:ascii="Open Sans" w:hAnsi="Open Sans" w:cs="Open Sans"/>
        </w:rPr>
        <w:t xml:space="preserve"> </w:t>
      </w:r>
      <w:r w:rsidRPr="00BF56C0">
        <w:rPr>
          <w:rFonts w:ascii="Open Sans" w:hAnsi="Open Sans" w:cs="Open Sans"/>
        </w:rPr>
        <w:t>was created in November 2015 to facilitate affordable and ethical loans for the local</w:t>
      </w:r>
      <w:r w:rsidR="000D3BFF">
        <w:rPr>
          <w:rFonts w:ascii="Open Sans" w:hAnsi="Open Sans" w:cs="Open Sans"/>
        </w:rPr>
        <w:t xml:space="preserve"> </w:t>
      </w:r>
      <w:r w:rsidRPr="00BF56C0">
        <w:rPr>
          <w:rFonts w:ascii="Open Sans" w:hAnsi="Open Sans" w:cs="Open Sans"/>
        </w:rPr>
        <w:t>economy</w:t>
      </w:r>
      <w:r w:rsidR="000D3BFF">
        <w:rPr>
          <w:rFonts w:ascii="Open Sans" w:hAnsi="Open Sans" w:cs="Open Sans"/>
        </w:rPr>
        <w:t xml:space="preserve"> and support new cooperative businesses.</w:t>
      </w:r>
      <w:r w:rsidRPr="00BF56C0">
        <w:rPr>
          <w:rFonts w:ascii="Open Sans" w:hAnsi="Open Sans" w:cs="Open Sans"/>
        </w:rPr>
        <w:t xml:space="preserve"> </w:t>
      </w:r>
    </w:p>
    <w:p w:rsidR="00971A02" w:rsidRPr="00971A02" w:rsidRDefault="00755A87" w:rsidP="00A32F30">
      <w:pPr>
        <w:pStyle w:val="BodyText"/>
        <w:rPr>
          <w:rFonts w:ascii="Open Sans" w:hAnsi="Open Sans" w:cs="Open Sans"/>
        </w:rPr>
      </w:pPr>
      <w:r>
        <w:rPr>
          <w:rFonts w:ascii="Open Sans" w:hAnsi="Open Sans" w:cs="Open Sans"/>
        </w:rPr>
        <w:t xml:space="preserve">Elsewhere, </w:t>
      </w:r>
      <w:r w:rsidR="000D3BFF" w:rsidRPr="000D3BFF">
        <w:rPr>
          <w:rFonts w:ascii="Open Sans" w:hAnsi="Open Sans" w:cs="Open Sans"/>
        </w:rPr>
        <w:t>Glasgow City Council has established a Cooperative Development Unit (CDU).</w:t>
      </w:r>
      <w:r w:rsidR="0014638F">
        <w:rPr>
          <w:rStyle w:val="FootnoteReference"/>
          <w:rFonts w:ascii="Open Sans" w:hAnsi="Open Sans" w:cs="Open Sans"/>
        </w:rPr>
        <w:footnoteReference w:id="14"/>
      </w:r>
      <w:r w:rsidR="000D3BFF" w:rsidRPr="000D3BFF">
        <w:rPr>
          <w:rFonts w:ascii="Open Sans" w:hAnsi="Open Sans" w:cs="Open Sans"/>
        </w:rPr>
        <w:t xml:space="preserve"> An executive role responsible for ‘</w:t>
      </w:r>
      <w:r w:rsidR="0014638F" w:rsidRPr="000D3BFF">
        <w:rPr>
          <w:rFonts w:ascii="Open Sans" w:hAnsi="Open Sans" w:cs="Open Sans"/>
        </w:rPr>
        <w:t>Cooperative</w:t>
      </w:r>
      <w:r w:rsidR="000D3BFF" w:rsidRPr="000D3BFF">
        <w:rPr>
          <w:rFonts w:ascii="Open Sans" w:hAnsi="Open Sans" w:cs="Open Sans"/>
        </w:rPr>
        <w:t xml:space="preserve"> Glasgow’ was created to oversee the CDU and provide political leadership. This commitment to a </w:t>
      </w:r>
      <w:r w:rsidR="0014638F" w:rsidRPr="000D3BFF">
        <w:rPr>
          <w:rFonts w:ascii="Open Sans" w:hAnsi="Open Sans" w:cs="Open Sans"/>
        </w:rPr>
        <w:t>Cooperative</w:t>
      </w:r>
      <w:r w:rsidR="000D3BFF" w:rsidRPr="000D3BFF">
        <w:rPr>
          <w:rFonts w:ascii="Open Sans" w:hAnsi="Open Sans" w:cs="Open Sans"/>
        </w:rPr>
        <w:t xml:space="preserve"> City was underwritten with a £500,000 annual budget to set up the Glasgow Business Development Fund which gives transformational grants to </w:t>
      </w:r>
      <w:r w:rsidR="0014638F" w:rsidRPr="000D3BFF">
        <w:rPr>
          <w:rFonts w:ascii="Open Sans" w:hAnsi="Open Sans" w:cs="Open Sans"/>
        </w:rPr>
        <w:t>cooperatives</w:t>
      </w:r>
      <w:r w:rsidR="000D3BFF" w:rsidRPr="000D3BFF">
        <w:rPr>
          <w:rFonts w:ascii="Open Sans" w:hAnsi="Open Sans" w:cs="Open Sans"/>
        </w:rPr>
        <w:t>, mutuals, social enterprises.</w:t>
      </w:r>
    </w:p>
    <w:p w:rsidR="00421C47" w:rsidRDefault="00421C47" w:rsidP="00695044">
      <w:pPr>
        <w:pStyle w:val="Heading2"/>
        <w:rPr>
          <w:rFonts w:ascii="Open Sans" w:hAnsi="Open Sans" w:cs="Open Sans"/>
        </w:rPr>
      </w:pPr>
      <w:bookmarkStart w:id="51" w:name="_Toc495660162"/>
      <w:r w:rsidRPr="00695044">
        <w:rPr>
          <w:rFonts w:ascii="Open Sans" w:hAnsi="Open Sans" w:cs="Open Sans"/>
        </w:rPr>
        <w:t>Building entrepreneurship in deprived communities</w:t>
      </w:r>
      <w:bookmarkEnd w:id="51"/>
    </w:p>
    <w:p w:rsidR="00631D1E" w:rsidRDefault="00631D1E" w:rsidP="00060577">
      <w:pPr>
        <w:pStyle w:val="BodyText"/>
      </w:pPr>
      <w:r>
        <w:rPr>
          <w:rFonts w:ascii="Open Sans" w:hAnsi="Open Sans" w:cs="Open Sans"/>
        </w:rPr>
        <w:t>C</w:t>
      </w:r>
      <w:r w:rsidRPr="00631D1E">
        <w:rPr>
          <w:rFonts w:ascii="Open Sans" w:hAnsi="Open Sans" w:cs="Open Sans"/>
        </w:rPr>
        <w:t>ommunity wealth building</w:t>
      </w:r>
      <w:r>
        <w:rPr>
          <w:rFonts w:ascii="Open Sans" w:hAnsi="Open Sans" w:cs="Open Sans"/>
        </w:rPr>
        <w:t xml:space="preserve"> approaches provide an ability to steer opportunity towards places which have been excluded from growth. </w:t>
      </w:r>
      <w:r w:rsidRPr="00631D1E">
        <w:rPr>
          <w:rFonts w:ascii="Open Sans" w:hAnsi="Open Sans" w:cs="Open Sans"/>
        </w:rPr>
        <w:t>Community wealth building</w:t>
      </w:r>
      <w:r w:rsidR="003F78E6" w:rsidRPr="003F78E6">
        <w:rPr>
          <w:rFonts w:ascii="Open Sans" w:hAnsi="Open Sans" w:cs="Open Sans"/>
        </w:rPr>
        <w:t xml:space="preserve"> can help stimulate local economies, create jobs and attract private investment in areas with little economic activity</w:t>
      </w:r>
      <w:r w:rsidR="003F78E6">
        <w:rPr>
          <w:rFonts w:ascii="Open Sans" w:hAnsi="Open Sans" w:cs="Open Sans"/>
        </w:rPr>
        <w:t>.</w:t>
      </w:r>
      <w:r w:rsidRPr="00631D1E">
        <w:t xml:space="preserve"> </w:t>
      </w:r>
    </w:p>
    <w:p w:rsidR="003F78E6" w:rsidRDefault="00631D1E" w:rsidP="00060577">
      <w:pPr>
        <w:pStyle w:val="BodyText"/>
        <w:rPr>
          <w:rFonts w:ascii="Open Sans" w:hAnsi="Open Sans" w:cs="Open Sans"/>
        </w:rPr>
      </w:pPr>
      <w:r>
        <w:rPr>
          <w:rFonts w:ascii="Open Sans" w:hAnsi="Open Sans" w:cs="Open Sans"/>
        </w:rPr>
        <w:t>L</w:t>
      </w:r>
      <w:r w:rsidRPr="00631D1E">
        <w:rPr>
          <w:rFonts w:ascii="Open Sans" w:hAnsi="Open Sans" w:cs="Open Sans"/>
        </w:rPr>
        <w:t xml:space="preserve">ocal people are the best people to shape </w:t>
      </w:r>
      <w:r>
        <w:rPr>
          <w:rFonts w:ascii="Open Sans" w:hAnsi="Open Sans" w:cs="Open Sans"/>
        </w:rPr>
        <w:t xml:space="preserve">the businesses and </w:t>
      </w:r>
      <w:r w:rsidRPr="00631D1E">
        <w:rPr>
          <w:rFonts w:ascii="Open Sans" w:hAnsi="Open Sans" w:cs="Open Sans"/>
        </w:rPr>
        <w:t>services which will benefit the</w:t>
      </w:r>
      <w:r>
        <w:rPr>
          <w:rFonts w:ascii="Open Sans" w:hAnsi="Open Sans" w:cs="Open Sans"/>
        </w:rPr>
        <w:t>ir</w:t>
      </w:r>
      <w:r w:rsidRPr="00631D1E">
        <w:rPr>
          <w:rFonts w:ascii="Open Sans" w:hAnsi="Open Sans" w:cs="Open Sans"/>
        </w:rPr>
        <w:t xml:space="preserve"> area. By harnessing the combined forces of all the </w:t>
      </w:r>
      <w:r w:rsidR="00295225">
        <w:rPr>
          <w:rFonts w:ascii="Open Sans" w:hAnsi="Open Sans" w:cs="Open Sans"/>
        </w:rPr>
        <w:t xml:space="preserve">key </w:t>
      </w:r>
      <w:r w:rsidRPr="00631D1E">
        <w:rPr>
          <w:rFonts w:ascii="Open Sans" w:hAnsi="Open Sans" w:cs="Open Sans"/>
        </w:rPr>
        <w:t xml:space="preserve">players in an area, we believe that </w:t>
      </w:r>
      <w:r>
        <w:rPr>
          <w:rFonts w:ascii="Open Sans" w:hAnsi="Open Sans" w:cs="Open Sans"/>
        </w:rPr>
        <w:t>social</w:t>
      </w:r>
      <w:r w:rsidRPr="00631D1E">
        <w:rPr>
          <w:rFonts w:ascii="Open Sans" w:hAnsi="Open Sans" w:cs="Open Sans"/>
        </w:rPr>
        <w:t xml:space="preserve"> businesses can start up, thrive and achieve positive change for their neighbourhoods, helping to reduce the inequalities </w:t>
      </w:r>
      <w:r>
        <w:rPr>
          <w:rFonts w:ascii="Open Sans" w:hAnsi="Open Sans" w:cs="Open Sans"/>
        </w:rPr>
        <w:t>between communities</w:t>
      </w:r>
      <w:r w:rsidRPr="00631D1E">
        <w:rPr>
          <w:rFonts w:ascii="Open Sans" w:hAnsi="Open Sans" w:cs="Open Sans"/>
        </w:rPr>
        <w:t>.</w:t>
      </w:r>
    </w:p>
    <w:p w:rsidR="00AD2F72" w:rsidRDefault="00AD2F72" w:rsidP="0014638F">
      <w:pPr>
        <w:pStyle w:val="BodyText"/>
        <w:rPr>
          <w:rFonts w:ascii="Open Sans" w:hAnsi="Open Sans" w:cs="Open Sans"/>
        </w:rPr>
      </w:pPr>
      <w:r>
        <w:rPr>
          <w:rFonts w:ascii="Open Sans" w:hAnsi="Open Sans" w:cs="Open Sans"/>
        </w:rPr>
        <w:t>Over the past few year CLES has worked closely with o</w:t>
      </w:r>
      <w:r w:rsidR="00631D1E">
        <w:rPr>
          <w:rFonts w:ascii="Open Sans" w:hAnsi="Open Sans" w:cs="Open Sans"/>
        </w:rPr>
        <w:t xml:space="preserve">rganisations such as </w:t>
      </w:r>
      <w:r w:rsidR="00631D1E" w:rsidRPr="00631D1E">
        <w:rPr>
          <w:rFonts w:ascii="Open Sans" w:hAnsi="Open Sans" w:cs="Open Sans"/>
        </w:rPr>
        <w:t>Co-operatives UK</w:t>
      </w:r>
      <w:r w:rsidR="00631D1E">
        <w:rPr>
          <w:rFonts w:ascii="Open Sans" w:hAnsi="Open Sans" w:cs="Open Sans"/>
        </w:rPr>
        <w:t>,</w:t>
      </w:r>
      <w:r w:rsidR="004B74D6">
        <w:rPr>
          <w:rStyle w:val="FootnoteReference"/>
          <w:rFonts w:ascii="Open Sans" w:hAnsi="Open Sans" w:cs="Open Sans"/>
        </w:rPr>
        <w:footnoteReference w:id="15"/>
      </w:r>
      <w:r w:rsidR="00631D1E" w:rsidRPr="00631D1E">
        <w:rPr>
          <w:rFonts w:ascii="Open Sans" w:hAnsi="Open Sans" w:cs="Open Sans"/>
        </w:rPr>
        <w:t xml:space="preserve"> </w:t>
      </w:r>
      <w:r w:rsidR="00631D1E">
        <w:rPr>
          <w:rFonts w:ascii="Open Sans" w:hAnsi="Open Sans" w:cs="Open Sans"/>
        </w:rPr>
        <w:t>Locality</w:t>
      </w:r>
      <w:r w:rsidR="004B74D6">
        <w:rPr>
          <w:rStyle w:val="FootnoteReference"/>
          <w:rFonts w:ascii="Open Sans" w:hAnsi="Open Sans" w:cs="Open Sans"/>
        </w:rPr>
        <w:footnoteReference w:id="16"/>
      </w:r>
      <w:r w:rsidR="00631D1E">
        <w:rPr>
          <w:rFonts w:ascii="Open Sans" w:hAnsi="Open Sans" w:cs="Open Sans"/>
        </w:rPr>
        <w:t xml:space="preserve"> and </w:t>
      </w:r>
      <w:r w:rsidR="00F508FA" w:rsidRPr="00F508FA">
        <w:rPr>
          <w:rFonts w:ascii="Open Sans" w:hAnsi="Open Sans" w:cs="Open Sans"/>
        </w:rPr>
        <w:t>Power</w:t>
      </w:r>
      <w:r w:rsidR="00F508FA">
        <w:rPr>
          <w:rFonts w:ascii="Open Sans" w:hAnsi="Open Sans" w:cs="Open Sans"/>
        </w:rPr>
        <w:t xml:space="preserve"> </w:t>
      </w:r>
      <w:r w:rsidR="00F508FA" w:rsidRPr="00F508FA">
        <w:rPr>
          <w:rFonts w:ascii="Open Sans" w:hAnsi="Open Sans" w:cs="Open Sans"/>
        </w:rPr>
        <w:t>to Change</w:t>
      </w:r>
      <w:r>
        <w:rPr>
          <w:rFonts w:ascii="Open Sans" w:hAnsi="Open Sans" w:cs="Open Sans"/>
        </w:rPr>
        <w:t>,</w:t>
      </w:r>
      <w:r w:rsidR="004B74D6">
        <w:rPr>
          <w:rStyle w:val="FootnoteReference"/>
          <w:rFonts w:ascii="Open Sans" w:hAnsi="Open Sans" w:cs="Open Sans"/>
        </w:rPr>
        <w:footnoteReference w:id="17"/>
      </w:r>
      <w:r w:rsidR="00F508FA" w:rsidRPr="00F508FA">
        <w:rPr>
          <w:rFonts w:ascii="Open Sans" w:hAnsi="Open Sans" w:cs="Open Sans"/>
        </w:rPr>
        <w:t xml:space="preserve"> </w:t>
      </w:r>
      <w:r>
        <w:rPr>
          <w:rFonts w:ascii="Open Sans" w:hAnsi="Open Sans" w:cs="Open Sans"/>
        </w:rPr>
        <w:t xml:space="preserve">all of whom </w:t>
      </w:r>
      <w:r w:rsidR="00631D1E">
        <w:rPr>
          <w:rFonts w:ascii="Open Sans" w:hAnsi="Open Sans" w:cs="Open Sans"/>
        </w:rPr>
        <w:t xml:space="preserve">champion </w:t>
      </w:r>
      <w:r w:rsidR="00631D1E" w:rsidRPr="00631D1E">
        <w:rPr>
          <w:rFonts w:ascii="Open Sans" w:hAnsi="Open Sans" w:cs="Open Sans"/>
        </w:rPr>
        <w:t>enterprising community-led organisations, working to help</w:t>
      </w:r>
      <w:r w:rsidR="00631D1E">
        <w:rPr>
          <w:rFonts w:ascii="Open Sans" w:hAnsi="Open Sans" w:cs="Open Sans"/>
        </w:rPr>
        <w:t xml:space="preserve"> deprived</w:t>
      </w:r>
      <w:r w:rsidR="00631D1E" w:rsidRPr="00631D1E">
        <w:rPr>
          <w:rFonts w:ascii="Open Sans" w:hAnsi="Open Sans" w:cs="Open Sans"/>
        </w:rPr>
        <w:t xml:space="preserve"> neighbourhoods thrive</w:t>
      </w:r>
      <w:r>
        <w:rPr>
          <w:rFonts w:ascii="Open Sans" w:hAnsi="Open Sans" w:cs="Open Sans"/>
        </w:rPr>
        <w:t>,</w:t>
      </w:r>
      <w:r w:rsidR="00631D1E">
        <w:rPr>
          <w:rFonts w:ascii="Open Sans" w:hAnsi="Open Sans" w:cs="Open Sans"/>
        </w:rPr>
        <w:t xml:space="preserve"> </w:t>
      </w:r>
      <w:r w:rsidR="0014638F" w:rsidRPr="0014638F">
        <w:rPr>
          <w:rFonts w:ascii="Open Sans" w:hAnsi="Open Sans" w:cs="Open Sans"/>
        </w:rPr>
        <w:t xml:space="preserve">create more connected and inclusive communities and improve the lives of the people who live there. </w:t>
      </w:r>
    </w:p>
    <w:p w:rsidR="00631D1E" w:rsidRDefault="00631D1E" w:rsidP="0014638F">
      <w:pPr>
        <w:pStyle w:val="BodyText"/>
        <w:rPr>
          <w:rFonts w:ascii="Open Sans" w:hAnsi="Open Sans" w:cs="Open Sans"/>
        </w:rPr>
      </w:pPr>
      <w:r>
        <w:rPr>
          <w:rFonts w:ascii="Open Sans" w:hAnsi="Open Sans" w:cs="Open Sans"/>
        </w:rPr>
        <w:t xml:space="preserve">Between them, these organisations run numerous support programmes, </w:t>
      </w:r>
      <w:r w:rsidR="00AD2F72">
        <w:rPr>
          <w:rFonts w:ascii="Open Sans" w:hAnsi="Open Sans" w:cs="Open Sans"/>
        </w:rPr>
        <w:t xml:space="preserve">provide </w:t>
      </w:r>
      <w:r>
        <w:rPr>
          <w:rFonts w:ascii="Open Sans" w:hAnsi="Open Sans" w:cs="Open Sans"/>
        </w:rPr>
        <w:t>grants, advice and resources that can help deprived communities take control of their futures, and when combined with an active anchor institution network, opportunities can be linked to the communities that need them most, creating more inclusive growth from within.</w:t>
      </w:r>
    </w:p>
    <w:p w:rsidR="00631D1E" w:rsidRDefault="00631D1E" w:rsidP="0014638F">
      <w:pPr>
        <w:pStyle w:val="BodyText"/>
        <w:rPr>
          <w:rFonts w:ascii="Open Sans" w:hAnsi="Open Sans" w:cs="Open Sans"/>
        </w:rPr>
      </w:pPr>
      <w:r>
        <w:rPr>
          <w:rFonts w:ascii="Open Sans" w:hAnsi="Open Sans" w:cs="Open Sans"/>
        </w:rPr>
        <w:t xml:space="preserve">  </w:t>
      </w:r>
    </w:p>
    <w:p w:rsidR="00631D1E" w:rsidRDefault="00631D1E" w:rsidP="0014638F">
      <w:pPr>
        <w:pStyle w:val="BodyText"/>
        <w:rPr>
          <w:rFonts w:ascii="Open Sans" w:hAnsi="Open Sans" w:cs="Open Sans"/>
        </w:rPr>
      </w:pPr>
    </w:p>
    <w:p w:rsidR="00631D1E" w:rsidRDefault="00631D1E" w:rsidP="0014638F">
      <w:pPr>
        <w:pStyle w:val="BodyText"/>
        <w:rPr>
          <w:rFonts w:ascii="Open Sans" w:hAnsi="Open Sans" w:cs="Open Sans"/>
        </w:rPr>
      </w:pPr>
    </w:p>
    <w:p w:rsidR="00421C47" w:rsidRPr="00AD2F72" w:rsidRDefault="00421C47" w:rsidP="00421C47">
      <w:pPr>
        <w:pStyle w:val="Heading1"/>
        <w:rPr>
          <w:rFonts w:ascii="Open Sans" w:hAnsi="Open Sans" w:cs="Open Sans"/>
        </w:rPr>
      </w:pPr>
      <w:bookmarkStart w:id="52" w:name="_Toc495660163"/>
      <w:r w:rsidRPr="00AD2F72">
        <w:rPr>
          <w:rFonts w:ascii="Open Sans" w:hAnsi="Open Sans" w:cs="Open Sans"/>
        </w:rPr>
        <w:t>Measuring impact</w:t>
      </w:r>
      <w:bookmarkEnd w:id="52"/>
    </w:p>
    <w:p w:rsidR="00F32C78" w:rsidRPr="00F32C78" w:rsidRDefault="001F3B71" w:rsidP="00F32C78">
      <w:pPr>
        <w:pStyle w:val="BodyText"/>
        <w:rPr>
          <w:rFonts w:ascii="Open Sans" w:hAnsi="Open Sans" w:cs="Open Sans"/>
        </w:rPr>
      </w:pPr>
      <w:r>
        <w:rPr>
          <w:rFonts w:ascii="Open Sans" w:hAnsi="Open Sans" w:cs="Open Sans"/>
        </w:rPr>
        <w:t xml:space="preserve">In measuring the impact of an anchor institution </w:t>
      </w:r>
      <w:r w:rsidR="00717D42">
        <w:rPr>
          <w:rFonts w:ascii="Open Sans" w:hAnsi="Open Sans" w:cs="Open Sans"/>
        </w:rPr>
        <w:t>strategy,</w:t>
      </w:r>
      <w:r>
        <w:rPr>
          <w:rFonts w:ascii="Open Sans" w:hAnsi="Open Sans" w:cs="Open Sans"/>
        </w:rPr>
        <w:t xml:space="preserve"> it is critical to first set a baseline against which progress can be measured, develop an impact measurement framework to direct how you measure the value of changes in institutional behaviour and build in monitoring and evaluation to the process to iteratively shape it as it moves forward. </w:t>
      </w:r>
      <w:r w:rsidR="00F32C78" w:rsidRPr="00F32C78">
        <w:rPr>
          <w:rFonts w:ascii="Open Sans" w:hAnsi="Open Sans" w:cs="Open Sans"/>
        </w:rPr>
        <w:t xml:space="preserve">Harnessing the </w:t>
      </w:r>
      <w:r>
        <w:rPr>
          <w:rFonts w:ascii="Open Sans" w:hAnsi="Open Sans" w:cs="Open Sans"/>
        </w:rPr>
        <w:t xml:space="preserve">full </w:t>
      </w:r>
      <w:r w:rsidR="00F32C78" w:rsidRPr="00F32C78">
        <w:rPr>
          <w:rFonts w:ascii="Open Sans" w:hAnsi="Open Sans" w:cs="Open Sans"/>
        </w:rPr>
        <w:t xml:space="preserve">potential of anchor institutions takes time – it can, and will take years for desired activities to be fully implemented and outcomes maximised. </w:t>
      </w:r>
    </w:p>
    <w:p w:rsidR="00421C47" w:rsidRDefault="00421C47" w:rsidP="003F5730">
      <w:pPr>
        <w:pStyle w:val="Heading2"/>
        <w:rPr>
          <w:rFonts w:ascii="Open Sans" w:hAnsi="Open Sans" w:cs="Open Sans"/>
        </w:rPr>
      </w:pPr>
      <w:bookmarkStart w:id="53" w:name="_Toc495660164"/>
      <w:r w:rsidRPr="003F5730">
        <w:rPr>
          <w:rFonts w:ascii="Open Sans" w:hAnsi="Open Sans" w:cs="Open Sans"/>
        </w:rPr>
        <w:t>Setting an evidence baseline</w:t>
      </w:r>
      <w:bookmarkEnd w:id="53"/>
    </w:p>
    <w:p w:rsidR="001A0BE2" w:rsidRPr="001A0BE2" w:rsidRDefault="001A0BE2" w:rsidP="001A0BE2">
      <w:pPr>
        <w:pStyle w:val="BodyText"/>
        <w:rPr>
          <w:rFonts w:ascii="Open Sans" w:hAnsi="Open Sans" w:cs="Open Sans"/>
        </w:rPr>
      </w:pPr>
      <w:r w:rsidRPr="001A0BE2">
        <w:rPr>
          <w:rFonts w:ascii="Open Sans" w:hAnsi="Open Sans" w:cs="Open Sans"/>
        </w:rPr>
        <w:t xml:space="preserve">In exploring procurement spend, </w:t>
      </w:r>
      <w:r w:rsidR="001F3B71">
        <w:rPr>
          <w:rFonts w:ascii="Open Sans" w:hAnsi="Open Sans" w:cs="Open Sans"/>
        </w:rPr>
        <w:t xml:space="preserve">land and </w:t>
      </w:r>
      <w:r w:rsidRPr="001A0BE2">
        <w:rPr>
          <w:rFonts w:ascii="Open Sans" w:hAnsi="Open Sans" w:cs="Open Sans"/>
        </w:rPr>
        <w:t xml:space="preserve">asset portfolios and </w:t>
      </w:r>
      <w:r w:rsidR="001F3B71">
        <w:rPr>
          <w:rFonts w:ascii="Open Sans" w:hAnsi="Open Sans" w:cs="Open Sans"/>
        </w:rPr>
        <w:t xml:space="preserve">the training and employment </w:t>
      </w:r>
      <w:r w:rsidRPr="001A0BE2">
        <w:rPr>
          <w:rFonts w:ascii="Open Sans" w:hAnsi="Open Sans" w:cs="Open Sans"/>
        </w:rPr>
        <w:t>practices</w:t>
      </w:r>
      <w:r>
        <w:rPr>
          <w:rFonts w:ascii="Open Sans" w:hAnsi="Open Sans" w:cs="Open Sans"/>
        </w:rPr>
        <w:t xml:space="preserve"> of anchor institutions we set a baseline for each individual institution against which future impacts can be measured.</w:t>
      </w:r>
      <w:r w:rsidR="001F3B71">
        <w:rPr>
          <w:rFonts w:ascii="Open Sans" w:hAnsi="Open Sans" w:cs="Open Sans"/>
        </w:rPr>
        <w:t xml:space="preserve"> In our mapping of anchor </w:t>
      </w:r>
      <w:r w:rsidR="00717D42">
        <w:rPr>
          <w:rFonts w:ascii="Open Sans" w:hAnsi="Open Sans" w:cs="Open Sans"/>
        </w:rPr>
        <w:t>institutions activities,</w:t>
      </w:r>
      <w:r w:rsidR="001F3B71">
        <w:rPr>
          <w:rFonts w:ascii="Open Sans" w:hAnsi="Open Sans" w:cs="Open Sans"/>
        </w:rPr>
        <w:t xml:space="preserve"> we can provide a detailed picture of the role they currently play in their local economy, providing signposts to increasing the local impact of their operation.</w:t>
      </w:r>
      <w:r>
        <w:rPr>
          <w:rFonts w:ascii="Open Sans" w:hAnsi="Open Sans" w:cs="Open Sans"/>
        </w:rPr>
        <w:t xml:space="preserve"> </w:t>
      </w:r>
      <w:r w:rsidR="001F3B71">
        <w:rPr>
          <w:rFonts w:ascii="Open Sans" w:hAnsi="Open Sans" w:cs="Open Sans"/>
        </w:rPr>
        <w:t>This baseline is presented for individual institutions and collectively for local places</w:t>
      </w:r>
      <w:r w:rsidR="00717D42">
        <w:rPr>
          <w:rFonts w:ascii="Open Sans" w:hAnsi="Open Sans" w:cs="Open Sans"/>
        </w:rPr>
        <w:t>, highlighting the scale of potential.</w:t>
      </w:r>
      <w:r w:rsidR="001F3B71">
        <w:rPr>
          <w:rFonts w:ascii="Open Sans" w:hAnsi="Open Sans" w:cs="Open Sans"/>
        </w:rPr>
        <w:t xml:space="preserve">  </w:t>
      </w:r>
      <w:r>
        <w:rPr>
          <w:rFonts w:ascii="Open Sans" w:hAnsi="Open Sans" w:cs="Open Sans"/>
        </w:rPr>
        <w:t xml:space="preserve">  </w:t>
      </w:r>
      <w:r w:rsidRPr="001A0BE2">
        <w:rPr>
          <w:rFonts w:ascii="Open Sans" w:hAnsi="Open Sans" w:cs="Open Sans"/>
        </w:rPr>
        <w:t xml:space="preserve"> </w:t>
      </w:r>
    </w:p>
    <w:p w:rsidR="00421C47" w:rsidRDefault="00421C47" w:rsidP="003F5730">
      <w:pPr>
        <w:pStyle w:val="Heading2"/>
        <w:rPr>
          <w:rFonts w:ascii="Open Sans" w:hAnsi="Open Sans" w:cs="Open Sans"/>
        </w:rPr>
      </w:pPr>
      <w:bookmarkStart w:id="54" w:name="_Toc495660165"/>
      <w:r w:rsidRPr="003F5730">
        <w:rPr>
          <w:rFonts w:ascii="Open Sans" w:hAnsi="Open Sans" w:cs="Open Sans"/>
        </w:rPr>
        <w:t>Developing an impact measurement framework</w:t>
      </w:r>
      <w:bookmarkEnd w:id="54"/>
    </w:p>
    <w:p w:rsidR="00717D42" w:rsidRDefault="00811917" w:rsidP="00717D42">
      <w:pPr>
        <w:pStyle w:val="BodyText"/>
        <w:rPr>
          <w:rFonts w:ascii="Open Sans" w:hAnsi="Open Sans" w:cs="Open Sans"/>
        </w:rPr>
      </w:pPr>
      <w:r>
        <w:rPr>
          <w:rFonts w:ascii="Open Sans" w:hAnsi="Open Sans" w:cs="Open Sans"/>
        </w:rPr>
        <w:t>Organisations</w:t>
      </w:r>
      <w:r w:rsidR="00DA1611" w:rsidRPr="00DA1611">
        <w:rPr>
          <w:rFonts w:ascii="Open Sans" w:hAnsi="Open Sans" w:cs="Open Sans"/>
        </w:rPr>
        <w:t xml:space="preserve"> need to understand the types of</w:t>
      </w:r>
      <w:r w:rsidR="00717D42">
        <w:rPr>
          <w:rFonts w:ascii="Open Sans" w:hAnsi="Open Sans" w:cs="Open Sans"/>
        </w:rPr>
        <w:t xml:space="preserve"> outcomes they want to achieve, which can then be developed into </w:t>
      </w:r>
      <w:r w:rsidR="00DA1611" w:rsidRPr="00DA1611">
        <w:rPr>
          <w:rFonts w:ascii="Open Sans" w:hAnsi="Open Sans" w:cs="Open Sans"/>
        </w:rPr>
        <w:t>a</w:t>
      </w:r>
      <w:r w:rsidR="00717D42">
        <w:rPr>
          <w:rFonts w:ascii="Open Sans" w:hAnsi="Open Sans" w:cs="Open Sans"/>
        </w:rPr>
        <w:t xml:space="preserve">n impact measurement framework. </w:t>
      </w:r>
    </w:p>
    <w:p w:rsidR="00A76F9B" w:rsidRPr="00717D42" w:rsidRDefault="00A76F9B" w:rsidP="00717D42">
      <w:pPr>
        <w:pStyle w:val="BodyText"/>
        <w:rPr>
          <w:rFonts w:ascii="Open Sans" w:hAnsi="Open Sans" w:cs="Open Sans"/>
        </w:rPr>
      </w:pPr>
      <w:r w:rsidRPr="00A76F9B">
        <w:rPr>
          <w:rFonts w:ascii="Open Sans" w:hAnsi="Open Sans" w:cs="Open Sans"/>
        </w:rPr>
        <w:t xml:space="preserve">In 2014, </w:t>
      </w:r>
      <w:r w:rsidR="00717D42">
        <w:rPr>
          <w:rFonts w:ascii="Open Sans" w:hAnsi="Open Sans" w:cs="Open Sans"/>
        </w:rPr>
        <w:t xml:space="preserve">CLES worked with the </w:t>
      </w:r>
      <w:r w:rsidRPr="00A76F9B">
        <w:rPr>
          <w:rFonts w:ascii="Open Sans" w:hAnsi="Open Sans" w:cs="Open Sans"/>
        </w:rPr>
        <w:t xml:space="preserve">Greater Manchester Combined Authority (GMCA) </w:t>
      </w:r>
      <w:r w:rsidR="00717D42">
        <w:rPr>
          <w:rFonts w:ascii="Open Sans" w:hAnsi="Open Sans" w:cs="Open Sans"/>
        </w:rPr>
        <w:t xml:space="preserve">to </w:t>
      </w:r>
      <w:r w:rsidRPr="00A76F9B">
        <w:rPr>
          <w:rFonts w:ascii="Open Sans" w:hAnsi="Open Sans" w:cs="Open Sans"/>
        </w:rPr>
        <w:t>develop the Greater Manchester Social Value Procurement Framework. The Framework was designed to serve the dual purpose of providing a common means through which the 10 Greater Manchester authorities could consider social value when commissioning and procuring public services; and also as a way of demonstrating the impact of spending choices on an ongoing basis. The framework is based around six key outcomes:</w:t>
      </w:r>
    </w:p>
    <w:p w:rsidR="00A76F9B" w:rsidRPr="00A76F9B" w:rsidRDefault="00A76F9B" w:rsidP="00A76F9B">
      <w:pPr>
        <w:pStyle w:val="FirstBullet"/>
        <w:numPr>
          <w:ilvl w:val="0"/>
          <w:numId w:val="30"/>
        </w:numPr>
        <w:rPr>
          <w:rFonts w:ascii="Open Sans" w:hAnsi="Open Sans" w:cs="Open Sans"/>
        </w:rPr>
      </w:pPr>
      <w:r w:rsidRPr="00A76F9B">
        <w:rPr>
          <w:rFonts w:ascii="Open Sans" w:hAnsi="Open Sans" w:cs="Open Sans"/>
        </w:rPr>
        <w:t>Promote employment and economic sustainability;</w:t>
      </w:r>
    </w:p>
    <w:p w:rsidR="00A76F9B" w:rsidRPr="00A76F9B" w:rsidRDefault="00A76F9B" w:rsidP="00A76F9B">
      <w:pPr>
        <w:pStyle w:val="ListBullet"/>
        <w:rPr>
          <w:rFonts w:ascii="Open Sans" w:hAnsi="Open Sans" w:cs="Open Sans"/>
        </w:rPr>
      </w:pPr>
      <w:r w:rsidRPr="00A76F9B">
        <w:rPr>
          <w:rFonts w:ascii="Open Sans" w:hAnsi="Open Sans" w:cs="Open Sans"/>
        </w:rPr>
        <w:t>Raising the living standards of local residents;</w:t>
      </w:r>
    </w:p>
    <w:p w:rsidR="00A76F9B" w:rsidRPr="00A76F9B" w:rsidRDefault="00A76F9B" w:rsidP="00A76F9B">
      <w:pPr>
        <w:pStyle w:val="ListBullet"/>
        <w:rPr>
          <w:rFonts w:ascii="Open Sans" w:hAnsi="Open Sans" w:cs="Open Sans"/>
        </w:rPr>
      </w:pPr>
      <w:r w:rsidRPr="00A76F9B">
        <w:rPr>
          <w:rFonts w:ascii="Open Sans" w:hAnsi="Open Sans" w:cs="Open Sans"/>
        </w:rPr>
        <w:t>Promote participation and citizen engagement;</w:t>
      </w:r>
    </w:p>
    <w:p w:rsidR="00A76F9B" w:rsidRPr="00A76F9B" w:rsidRDefault="00A76F9B" w:rsidP="00A76F9B">
      <w:pPr>
        <w:pStyle w:val="ListBullet"/>
        <w:rPr>
          <w:rFonts w:ascii="Open Sans" w:hAnsi="Open Sans" w:cs="Open Sans"/>
        </w:rPr>
      </w:pPr>
      <w:r w:rsidRPr="00A76F9B">
        <w:rPr>
          <w:rFonts w:ascii="Open Sans" w:hAnsi="Open Sans" w:cs="Open Sans"/>
        </w:rPr>
        <w:t>Build capacity and sustainability of the voluntary and community sector;</w:t>
      </w:r>
    </w:p>
    <w:p w:rsidR="00A76F9B" w:rsidRPr="00A76F9B" w:rsidRDefault="00A76F9B" w:rsidP="00A76F9B">
      <w:pPr>
        <w:pStyle w:val="ListBullet"/>
        <w:rPr>
          <w:rFonts w:ascii="Open Sans" w:hAnsi="Open Sans" w:cs="Open Sans"/>
        </w:rPr>
      </w:pPr>
      <w:r w:rsidRPr="00A76F9B">
        <w:rPr>
          <w:rFonts w:ascii="Open Sans" w:hAnsi="Open Sans" w:cs="Open Sans"/>
        </w:rPr>
        <w:t>Promote equity and fairness;</w:t>
      </w:r>
    </w:p>
    <w:p w:rsidR="00A76F9B" w:rsidRPr="00A76F9B" w:rsidRDefault="00A76F9B" w:rsidP="00A76F9B">
      <w:pPr>
        <w:pStyle w:val="ListBullet"/>
        <w:rPr>
          <w:rFonts w:ascii="Open Sans" w:hAnsi="Open Sans" w:cs="Open Sans"/>
        </w:rPr>
      </w:pPr>
      <w:r w:rsidRPr="00A76F9B">
        <w:rPr>
          <w:rFonts w:ascii="Open Sans" w:hAnsi="Open Sans" w:cs="Open Sans"/>
        </w:rPr>
        <w:t xml:space="preserve">Promote environmental sustainability. </w:t>
      </w:r>
    </w:p>
    <w:p w:rsidR="00A76F9B" w:rsidRPr="00A76F9B" w:rsidRDefault="00A76F9B" w:rsidP="00A76F9B">
      <w:pPr>
        <w:pStyle w:val="ListBullet"/>
        <w:numPr>
          <w:ilvl w:val="0"/>
          <w:numId w:val="0"/>
        </w:numPr>
        <w:tabs>
          <w:tab w:val="left" w:pos="720"/>
        </w:tabs>
        <w:ind w:left="1304" w:hanging="584"/>
        <w:rPr>
          <w:rFonts w:ascii="Open Sans" w:hAnsi="Open Sans" w:cs="Open Sans"/>
        </w:rPr>
      </w:pPr>
    </w:p>
    <w:p w:rsidR="00A76F9B" w:rsidRDefault="00717D42" w:rsidP="00381A7D">
      <w:pPr>
        <w:pStyle w:val="BodyText"/>
        <w:rPr>
          <w:rFonts w:ascii="Open Sans" w:hAnsi="Open Sans" w:cs="Open Sans"/>
        </w:rPr>
      </w:pPr>
      <w:r>
        <w:rPr>
          <w:rFonts w:ascii="Open Sans" w:hAnsi="Open Sans" w:cs="Open Sans"/>
        </w:rPr>
        <w:t>The 10 l</w:t>
      </w:r>
      <w:r w:rsidR="00A76F9B" w:rsidRPr="00A76F9B">
        <w:rPr>
          <w:rFonts w:ascii="Open Sans" w:hAnsi="Open Sans" w:cs="Open Sans"/>
        </w:rPr>
        <w:t>ocal authorities</w:t>
      </w:r>
      <w:r>
        <w:rPr>
          <w:rFonts w:ascii="Open Sans" w:hAnsi="Open Sans" w:cs="Open Sans"/>
        </w:rPr>
        <w:t xml:space="preserve"> in Greater Manchester</w:t>
      </w:r>
      <w:r w:rsidR="00A76F9B" w:rsidRPr="00A76F9B">
        <w:rPr>
          <w:rFonts w:ascii="Open Sans" w:hAnsi="Open Sans" w:cs="Open Sans"/>
        </w:rPr>
        <w:t xml:space="preserve"> have organically started to utilise the Greater Manchester Social Value Procurem</w:t>
      </w:r>
      <w:r w:rsidR="001C7024">
        <w:rPr>
          <w:rFonts w:ascii="Open Sans" w:hAnsi="Open Sans" w:cs="Open Sans"/>
        </w:rPr>
        <w:t xml:space="preserve">ent Framework in their </w:t>
      </w:r>
      <w:r w:rsidR="00740896">
        <w:rPr>
          <w:rFonts w:ascii="Open Sans" w:hAnsi="Open Sans" w:cs="Open Sans"/>
        </w:rPr>
        <w:t>decision-making</w:t>
      </w:r>
      <w:r w:rsidR="00A76F9B" w:rsidRPr="00A76F9B">
        <w:rPr>
          <w:rFonts w:ascii="Open Sans" w:hAnsi="Open Sans" w:cs="Open Sans"/>
        </w:rPr>
        <w:t xml:space="preserve"> processes, particularly in terms of the themes or outcomes of what they should be lo</w:t>
      </w:r>
      <w:r w:rsidR="00381A7D">
        <w:rPr>
          <w:rFonts w:ascii="Open Sans" w:hAnsi="Open Sans" w:cs="Open Sans"/>
        </w:rPr>
        <w:t xml:space="preserve">oking for around social value. </w:t>
      </w:r>
      <w:r w:rsidR="00A76F9B" w:rsidRPr="00A76F9B">
        <w:rPr>
          <w:rFonts w:ascii="Open Sans" w:hAnsi="Open Sans" w:cs="Open Sans"/>
        </w:rPr>
        <w:t xml:space="preserve"> </w:t>
      </w:r>
    </w:p>
    <w:p w:rsidR="00C738D1" w:rsidRPr="00DA1611" w:rsidRDefault="00C738D1" w:rsidP="00381A7D">
      <w:pPr>
        <w:pStyle w:val="BodyText"/>
        <w:rPr>
          <w:rFonts w:ascii="Open Sans" w:hAnsi="Open Sans" w:cs="Open Sans"/>
        </w:rPr>
      </w:pPr>
      <w:r>
        <w:rPr>
          <w:rFonts w:ascii="Open Sans" w:hAnsi="Open Sans" w:cs="Open Sans"/>
        </w:rPr>
        <w:t xml:space="preserve">A similar framework has also been developed in Lancashire and is being utilised at all stages of the procurement process: commissioning, tendering, decision-making, and </w:t>
      </w:r>
      <w:r w:rsidR="00B02738">
        <w:rPr>
          <w:rFonts w:ascii="Open Sans" w:hAnsi="Open Sans" w:cs="Open Sans"/>
        </w:rPr>
        <w:t xml:space="preserve">delivery and monitoring. </w:t>
      </w:r>
    </w:p>
    <w:p w:rsidR="00421C47" w:rsidRDefault="00421C47" w:rsidP="003F5730">
      <w:pPr>
        <w:pStyle w:val="Heading2"/>
        <w:rPr>
          <w:rFonts w:ascii="Open Sans" w:hAnsi="Open Sans" w:cs="Open Sans"/>
        </w:rPr>
      </w:pPr>
      <w:bookmarkStart w:id="55" w:name="_Toc495660166"/>
      <w:r w:rsidRPr="003F5730">
        <w:rPr>
          <w:rFonts w:ascii="Open Sans" w:hAnsi="Open Sans" w:cs="Open Sans"/>
        </w:rPr>
        <w:t>Evaluating impacts</w:t>
      </w:r>
      <w:bookmarkEnd w:id="55"/>
    </w:p>
    <w:p w:rsidR="00E92178" w:rsidRDefault="00717D42" w:rsidP="00E92178">
      <w:pPr>
        <w:pStyle w:val="BodyText"/>
        <w:rPr>
          <w:rFonts w:ascii="Open Sans" w:hAnsi="Open Sans" w:cs="Open Sans"/>
        </w:rPr>
      </w:pPr>
      <w:r>
        <w:rPr>
          <w:rFonts w:ascii="Open Sans" w:hAnsi="Open Sans" w:cs="Open Sans"/>
        </w:rPr>
        <w:t xml:space="preserve">Having set a baseline and agreed the types of outcomes to be achieved, </w:t>
      </w:r>
      <w:r w:rsidR="00A4138F">
        <w:rPr>
          <w:rFonts w:ascii="Open Sans" w:hAnsi="Open Sans" w:cs="Open Sans"/>
        </w:rPr>
        <w:t>organisations</w:t>
      </w:r>
      <w:r w:rsidR="00DA1611" w:rsidRPr="00DA1611">
        <w:rPr>
          <w:rFonts w:ascii="Open Sans" w:hAnsi="Open Sans" w:cs="Open Sans"/>
        </w:rPr>
        <w:t xml:space="preserve"> need to continuously monitor th</w:t>
      </w:r>
      <w:r>
        <w:rPr>
          <w:rFonts w:ascii="Open Sans" w:hAnsi="Open Sans" w:cs="Open Sans"/>
        </w:rPr>
        <w:t>e impact and behaviour change</w:t>
      </w:r>
      <w:r w:rsidR="00DA1611" w:rsidRPr="00DA1611">
        <w:rPr>
          <w:rFonts w:ascii="Open Sans" w:hAnsi="Open Sans" w:cs="Open Sans"/>
        </w:rPr>
        <w:t xml:space="preserve"> community wealth building activities lead to</w:t>
      </w:r>
      <w:r>
        <w:rPr>
          <w:rFonts w:ascii="Open Sans" w:hAnsi="Open Sans" w:cs="Open Sans"/>
        </w:rPr>
        <w:t>,</w:t>
      </w:r>
      <w:r w:rsidR="00DA1611" w:rsidRPr="00DA1611">
        <w:rPr>
          <w:rFonts w:ascii="Open Sans" w:hAnsi="Open Sans" w:cs="Open Sans"/>
        </w:rPr>
        <w:t xml:space="preserve"> and </w:t>
      </w:r>
      <w:r>
        <w:rPr>
          <w:rFonts w:ascii="Open Sans" w:hAnsi="Open Sans" w:cs="Open Sans"/>
        </w:rPr>
        <w:t xml:space="preserve">learn from this to </w:t>
      </w:r>
      <w:r w:rsidR="00DA1611" w:rsidRPr="00DA1611">
        <w:rPr>
          <w:rFonts w:ascii="Open Sans" w:hAnsi="Open Sans" w:cs="Open Sans"/>
        </w:rPr>
        <w:t xml:space="preserve">amend </w:t>
      </w:r>
      <w:r>
        <w:rPr>
          <w:rFonts w:ascii="Open Sans" w:hAnsi="Open Sans" w:cs="Open Sans"/>
        </w:rPr>
        <w:t xml:space="preserve">the approach </w:t>
      </w:r>
      <w:r w:rsidR="00DA1611" w:rsidRPr="00DA1611">
        <w:rPr>
          <w:rFonts w:ascii="Open Sans" w:hAnsi="Open Sans" w:cs="Open Sans"/>
        </w:rPr>
        <w:t>accordingly.</w:t>
      </w:r>
      <w:r>
        <w:rPr>
          <w:rFonts w:ascii="Open Sans" w:hAnsi="Open Sans" w:cs="Open Sans"/>
        </w:rPr>
        <w:t xml:space="preserve"> Evaluation therefore should be built into a</w:t>
      </w:r>
      <w:r w:rsidR="001C7024">
        <w:rPr>
          <w:rFonts w:ascii="Open Sans" w:hAnsi="Open Sans" w:cs="Open Sans"/>
        </w:rPr>
        <w:t xml:space="preserve">ny anchor institution strategy. This includes measuring </w:t>
      </w:r>
      <w:r w:rsidR="00A4138F">
        <w:rPr>
          <w:rFonts w:ascii="Open Sans" w:hAnsi="Open Sans" w:cs="Open Sans"/>
        </w:rPr>
        <w:t xml:space="preserve">and </w:t>
      </w:r>
      <w:r w:rsidR="001C7024">
        <w:rPr>
          <w:rFonts w:ascii="Open Sans" w:hAnsi="Open Sans" w:cs="Open Sans"/>
        </w:rPr>
        <w:t xml:space="preserve">analysing the changes in spend by the anchor themselves (see the Preston and Manchester examples below). </w:t>
      </w:r>
      <w:r>
        <w:rPr>
          <w:rFonts w:ascii="Open Sans" w:hAnsi="Open Sans" w:cs="Open Sans"/>
        </w:rPr>
        <w:t xml:space="preserve"> </w:t>
      </w:r>
      <w:r w:rsidR="001C7024">
        <w:rPr>
          <w:rFonts w:ascii="Open Sans" w:hAnsi="Open Sans" w:cs="Open Sans"/>
        </w:rPr>
        <w:t xml:space="preserve">However, it is also vital to continually monitor the social value generated by </w:t>
      </w:r>
      <w:r w:rsidR="00A4138F">
        <w:rPr>
          <w:rFonts w:ascii="Open Sans" w:hAnsi="Open Sans" w:cs="Open Sans"/>
        </w:rPr>
        <w:t>the supply chain</w:t>
      </w:r>
      <w:r w:rsidR="001C7024">
        <w:rPr>
          <w:rFonts w:ascii="Open Sans" w:hAnsi="Open Sans" w:cs="Open Sans"/>
        </w:rPr>
        <w:t xml:space="preserve"> and track the progress made i</w:t>
      </w:r>
      <w:r w:rsidR="00AB3964">
        <w:rPr>
          <w:rFonts w:ascii="Open Sans" w:hAnsi="Open Sans" w:cs="Open Sans"/>
        </w:rPr>
        <w:t xml:space="preserve">n this regard, as previously mentioned, it is not enough to assume that benefit will be derived through the use of local suppliers. </w:t>
      </w:r>
      <w:r w:rsidR="001C7024">
        <w:rPr>
          <w:rFonts w:ascii="Open Sans" w:hAnsi="Open Sans" w:cs="Open Sans"/>
        </w:rPr>
        <w:t xml:space="preserve"> </w:t>
      </w:r>
    </w:p>
    <w:p w:rsidR="00740896" w:rsidRDefault="00740896" w:rsidP="00740896">
      <w:pPr>
        <w:pStyle w:val="BodyText"/>
        <w:rPr>
          <w:rFonts w:ascii="Open Sans" w:hAnsi="Open Sans" w:cs="Open Sans"/>
        </w:rPr>
      </w:pPr>
      <w:r>
        <w:rPr>
          <w:rFonts w:ascii="Open Sans" w:hAnsi="Open Sans" w:cs="Open Sans"/>
        </w:rPr>
        <w:t xml:space="preserve">In Manchester we have regularly conducted surveys with the supplier base of the city council since 2008, in 2015/16 we recorded 1,481 new jobs and 262 apprenticeships created in the supply chain, with opportunities for 334 individuals considered ‘hard to reach’. Over 20,000 hours of staff volunteering was recorded and over 47,000 hours of support given to the Community and Voluntary sector by businesses themselves. The local supply chain clearly has a role to play in creating more inclusive growth and massively contributes to community wealth.      </w:t>
      </w:r>
    </w:p>
    <w:p w:rsidR="00740896" w:rsidRPr="004828D1" w:rsidRDefault="00740896" w:rsidP="00740896">
      <w:pPr>
        <w:pStyle w:val="BodyText"/>
        <w:rPr>
          <w:rFonts w:ascii="Open Sans" w:hAnsi="Open Sans" w:cs="Open Sans"/>
          <w:b/>
          <w:i/>
        </w:rPr>
      </w:pPr>
      <w:r w:rsidRPr="004828D1">
        <w:rPr>
          <w:rFonts w:ascii="Open Sans" w:hAnsi="Open Sans" w:cs="Open Sans"/>
          <w:b/>
          <w:i/>
          <w:noProof/>
        </w:rPr>
        <w:t>M</w:t>
      </w:r>
      <w:r>
        <w:rPr>
          <w:rFonts w:ascii="Open Sans" w:hAnsi="Open Sans" w:cs="Open Sans"/>
          <w:b/>
          <w:i/>
          <w:noProof/>
        </w:rPr>
        <w:t xml:space="preserve">anchester </w:t>
      </w:r>
      <w:r w:rsidRPr="004828D1">
        <w:rPr>
          <w:rFonts w:ascii="Open Sans" w:hAnsi="Open Sans" w:cs="Open Sans"/>
          <w:b/>
          <w:i/>
          <w:noProof/>
        </w:rPr>
        <w:t>C</w:t>
      </w:r>
      <w:r>
        <w:rPr>
          <w:rFonts w:ascii="Open Sans" w:hAnsi="Open Sans" w:cs="Open Sans"/>
          <w:b/>
          <w:i/>
          <w:noProof/>
        </w:rPr>
        <w:t xml:space="preserve">ity </w:t>
      </w:r>
      <w:r w:rsidRPr="004828D1">
        <w:rPr>
          <w:rFonts w:ascii="Open Sans" w:hAnsi="Open Sans" w:cs="Open Sans"/>
          <w:b/>
          <w:i/>
          <w:noProof/>
        </w:rPr>
        <w:t>C</w:t>
      </w:r>
      <w:r>
        <w:rPr>
          <w:rFonts w:ascii="Open Sans" w:hAnsi="Open Sans" w:cs="Open Sans"/>
          <w:b/>
          <w:i/>
          <w:noProof/>
        </w:rPr>
        <w:t>ouncil</w:t>
      </w:r>
      <w:r w:rsidRPr="004828D1">
        <w:rPr>
          <w:rFonts w:ascii="Open Sans" w:hAnsi="Open Sans" w:cs="Open Sans"/>
          <w:b/>
          <w:i/>
          <w:noProof/>
        </w:rPr>
        <w:t xml:space="preserve"> social value through the supply chain </w:t>
      </w:r>
      <w:r>
        <w:rPr>
          <w:rFonts w:ascii="Open Sans" w:hAnsi="Open Sans" w:cs="Open Sans"/>
          <w:b/>
          <w:i/>
          <w:noProof/>
        </w:rPr>
        <w:t>20</w:t>
      </w:r>
      <w:r w:rsidRPr="004828D1">
        <w:rPr>
          <w:rFonts w:ascii="Open Sans" w:hAnsi="Open Sans" w:cs="Open Sans"/>
          <w:b/>
          <w:i/>
          <w:noProof/>
        </w:rPr>
        <w:t>15/16</w:t>
      </w:r>
    </w:p>
    <w:p w:rsidR="00740896" w:rsidRDefault="00740896" w:rsidP="00740896">
      <w:pPr>
        <w:pStyle w:val="BodyText"/>
        <w:rPr>
          <w:rFonts w:ascii="Open Sans" w:hAnsi="Open Sans" w:cs="Open Sans"/>
        </w:rPr>
      </w:pPr>
      <w:r>
        <w:rPr>
          <w:rFonts w:ascii="Open Sans" w:hAnsi="Open Sans" w:cs="Open Sans"/>
          <w:noProof/>
          <w:lang w:eastAsia="en-GB"/>
        </w:rPr>
        <w:drawing>
          <wp:anchor distT="0" distB="0" distL="114300" distR="114300" simplePos="0" relativeHeight="251662336" behindDoc="0" locked="0" layoutInCell="1" allowOverlap="1" wp14:anchorId="4349CC32" wp14:editId="012B7BE0">
            <wp:simplePos x="0" y="0"/>
            <wp:positionH relativeFrom="column">
              <wp:posOffset>1280160</wp:posOffset>
            </wp:positionH>
            <wp:positionV relativeFrom="paragraph">
              <wp:posOffset>102235</wp:posOffset>
            </wp:positionV>
            <wp:extent cx="3790950" cy="35909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c.png"/>
                    <pic:cNvPicPr/>
                  </pic:nvPicPr>
                  <pic:blipFill rotWithShape="1">
                    <a:blip r:embed="rId10">
                      <a:extLst>
                        <a:ext uri="{28A0092B-C50C-407E-A947-70E740481C1C}">
                          <a14:useLocalDpi xmlns:a14="http://schemas.microsoft.com/office/drawing/2010/main" val="0"/>
                        </a:ext>
                      </a:extLst>
                    </a:blip>
                    <a:srcRect l="4385" t="2710" r="3769" b="4402"/>
                    <a:stretch/>
                  </pic:blipFill>
                  <pic:spPr bwMode="auto">
                    <a:xfrm>
                      <a:off x="0" y="0"/>
                      <a:ext cx="3790950" cy="3590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0896" w:rsidRDefault="00740896" w:rsidP="00740896">
      <w:pPr>
        <w:pStyle w:val="BodyText"/>
        <w:rPr>
          <w:rFonts w:ascii="Open Sans" w:hAnsi="Open Sans" w:cs="Open Sans"/>
        </w:rPr>
      </w:pPr>
    </w:p>
    <w:p w:rsidR="00740896" w:rsidRDefault="00740896" w:rsidP="00740896">
      <w:pPr>
        <w:pStyle w:val="BodyText"/>
        <w:rPr>
          <w:rFonts w:ascii="Open Sans" w:hAnsi="Open Sans" w:cs="Open Sans"/>
        </w:rPr>
      </w:pPr>
    </w:p>
    <w:p w:rsidR="00740896" w:rsidRDefault="00740896" w:rsidP="00740896">
      <w:pPr>
        <w:pStyle w:val="BodyText"/>
        <w:rPr>
          <w:rFonts w:ascii="Open Sans" w:hAnsi="Open Sans" w:cs="Open Sans"/>
        </w:rPr>
      </w:pPr>
    </w:p>
    <w:p w:rsidR="00740896" w:rsidRDefault="00740896" w:rsidP="00740896">
      <w:pPr>
        <w:pStyle w:val="BodyText"/>
        <w:rPr>
          <w:rFonts w:ascii="Open Sans" w:hAnsi="Open Sans" w:cs="Open Sans"/>
        </w:rPr>
      </w:pPr>
    </w:p>
    <w:p w:rsidR="00740896" w:rsidRDefault="00740896" w:rsidP="00740896">
      <w:pPr>
        <w:pStyle w:val="BodyText"/>
        <w:rPr>
          <w:rFonts w:ascii="Open Sans" w:hAnsi="Open Sans" w:cs="Open Sans"/>
        </w:rPr>
      </w:pPr>
    </w:p>
    <w:p w:rsidR="00740896" w:rsidRDefault="00740896" w:rsidP="00740896">
      <w:pPr>
        <w:pStyle w:val="BodyText"/>
        <w:rPr>
          <w:rFonts w:ascii="Open Sans" w:hAnsi="Open Sans" w:cs="Open Sans"/>
        </w:rPr>
      </w:pPr>
    </w:p>
    <w:p w:rsidR="00740896" w:rsidRDefault="00740896" w:rsidP="00740896">
      <w:pPr>
        <w:pStyle w:val="BodyText"/>
        <w:rPr>
          <w:rFonts w:ascii="Open Sans" w:hAnsi="Open Sans" w:cs="Open Sans"/>
        </w:rPr>
      </w:pPr>
    </w:p>
    <w:p w:rsidR="00740896" w:rsidRDefault="00740896" w:rsidP="00740896">
      <w:pPr>
        <w:pStyle w:val="BodyText"/>
        <w:rPr>
          <w:rFonts w:ascii="Open Sans" w:hAnsi="Open Sans" w:cs="Open Sans"/>
        </w:rPr>
      </w:pPr>
    </w:p>
    <w:p w:rsidR="00740896" w:rsidRDefault="00740896" w:rsidP="00740896">
      <w:pPr>
        <w:pStyle w:val="BodyText"/>
        <w:rPr>
          <w:rFonts w:ascii="Open Sans" w:hAnsi="Open Sans" w:cs="Open Sans"/>
        </w:rPr>
      </w:pPr>
    </w:p>
    <w:p w:rsidR="00740896" w:rsidRDefault="00740896" w:rsidP="00740896">
      <w:pPr>
        <w:pStyle w:val="BodyText"/>
        <w:rPr>
          <w:rFonts w:ascii="Open Sans" w:hAnsi="Open Sans" w:cs="Open Sans"/>
        </w:rPr>
      </w:pPr>
    </w:p>
    <w:p w:rsidR="00740896" w:rsidRDefault="00740896" w:rsidP="00740896">
      <w:pPr>
        <w:pStyle w:val="BodyText"/>
        <w:rPr>
          <w:rFonts w:ascii="Open Sans" w:hAnsi="Open Sans" w:cs="Open Sans"/>
        </w:rPr>
      </w:pPr>
    </w:p>
    <w:p w:rsidR="00740896" w:rsidRDefault="00740896" w:rsidP="00740896">
      <w:pPr>
        <w:pStyle w:val="BodyText"/>
        <w:rPr>
          <w:rFonts w:ascii="Open Sans" w:hAnsi="Open Sans" w:cs="Open Sans"/>
        </w:rPr>
      </w:pPr>
    </w:p>
    <w:p w:rsidR="00740896" w:rsidRDefault="00740896" w:rsidP="00740896">
      <w:pPr>
        <w:pStyle w:val="BodyText"/>
        <w:rPr>
          <w:rFonts w:ascii="Open Sans" w:hAnsi="Open Sans" w:cs="Open Sans"/>
        </w:rPr>
      </w:pPr>
    </w:p>
    <w:p w:rsidR="00A4138F" w:rsidRDefault="00A4138F" w:rsidP="00A22099">
      <w:pPr>
        <w:pStyle w:val="BodyText"/>
        <w:rPr>
          <w:rFonts w:ascii="Open Sans" w:hAnsi="Open Sans" w:cs="Open Sans"/>
        </w:rPr>
      </w:pPr>
    </w:p>
    <w:p w:rsidR="00740896" w:rsidRPr="00A22099" w:rsidRDefault="00A4138F" w:rsidP="00A22099">
      <w:pPr>
        <w:pStyle w:val="BodyText"/>
        <w:rPr>
          <w:rFonts w:ascii="Open Sans" w:hAnsi="Open Sans" w:cs="Open Sans"/>
        </w:rPr>
      </w:pPr>
      <w:r>
        <w:rPr>
          <w:rFonts w:ascii="Open Sans" w:hAnsi="Open Sans" w:cs="Open Sans"/>
        </w:rPr>
        <w:t xml:space="preserve">In addition, </w:t>
      </w:r>
      <w:r w:rsidR="00740896">
        <w:rPr>
          <w:rFonts w:ascii="Open Sans" w:hAnsi="Open Sans" w:cs="Open Sans"/>
        </w:rPr>
        <w:t>CLES have been tracking local spend in Preston and Lancashire since 2012/13</w:t>
      </w:r>
      <w:r>
        <w:rPr>
          <w:rFonts w:ascii="Open Sans" w:hAnsi="Open Sans" w:cs="Open Sans"/>
        </w:rPr>
        <w:t xml:space="preserve">. The </w:t>
      </w:r>
      <w:r w:rsidR="00740896">
        <w:rPr>
          <w:rFonts w:ascii="Open Sans" w:hAnsi="Open Sans" w:cs="Open Sans"/>
        </w:rPr>
        <w:t>focus on community wealth building</w:t>
      </w:r>
      <w:r>
        <w:rPr>
          <w:rFonts w:ascii="Open Sans" w:hAnsi="Open Sans" w:cs="Open Sans"/>
        </w:rPr>
        <w:t xml:space="preserve"> in Preston</w:t>
      </w:r>
      <w:r w:rsidR="00740896">
        <w:rPr>
          <w:rFonts w:ascii="Open Sans" w:hAnsi="Open Sans" w:cs="Open Sans"/>
        </w:rPr>
        <w:t xml:space="preserve"> has seen spending</w:t>
      </w:r>
      <w:r w:rsidR="00A22099">
        <w:rPr>
          <w:rFonts w:ascii="Open Sans" w:hAnsi="Open Sans" w:cs="Open Sans"/>
        </w:rPr>
        <w:t xml:space="preserve"> </w:t>
      </w:r>
      <w:r>
        <w:rPr>
          <w:rFonts w:ascii="Open Sans" w:hAnsi="Open Sans" w:cs="Open Sans"/>
        </w:rPr>
        <w:t>by</w:t>
      </w:r>
      <w:r w:rsidR="00A22099">
        <w:rPr>
          <w:rFonts w:ascii="Open Sans" w:hAnsi="Open Sans" w:cs="Open Sans"/>
        </w:rPr>
        <w:t xml:space="preserve"> the </w:t>
      </w:r>
      <w:r>
        <w:rPr>
          <w:rFonts w:ascii="Open Sans" w:hAnsi="Open Sans" w:cs="Open Sans"/>
        </w:rPr>
        <w:t>six</w:t>
      </w:r>
      <w:r w:rsidR="00A22099">
        <w:rPr>
          <w:rFonts w:ascii="Open Sans" w:hAnsi="Open Sans" w:cs="Open Sans"/>
        </w:rPr>
        <w:t xml:space="preserve"> anchor institutions</w:t>
      </w:r>
      <w:r w:rsidR="00740896">
        <w:rPr>
          <w:rFonts w:ascii="Open Sans" w:hAnsi="Open Sans" w:cs="Open Sans"/>
        </w:rPr>
        <w:t xml:space="preserve"> </w:t>
      </w:r>
      <w:r>
        <w:rPr>
          <w:rFonts w:ascii="Open Sans" w:hAnsi="Open Sans" w:cs="Open Sans"/>
        </w:rPr>
        <w:t xml:space="preserve">with </w:t>
      </w:r>
      <w:r w:rsidR="00740896">
        <w:rPr>
          <w:rFonts w:ascii="Open Sans" w:hAnsi="Open Sans" w:cs="Open Sans"/>
        </w:rPr>
        <w:t>Preston</w:t>
      </w:r>
      <w:r>
        <w:rPr>
          <w:rFonts w:ascii="Open Sans" w:hAnsi="Open Sans" w:cs="Open Sans"/>
        </w:rPr>
        <w:t xml:space="preserve"> based suppliers</w:t>
      </w:r>
      <w:r w:rsidR="00740896">
        <w:rPr>
          <w:rFonts w:ascii="Open Sans" w:hAnsi="Open Sans" w:cs="Open Sans"/>
        </w:rPr>
        <w:t xml:space="preserve"> increase from just 5% to 18.2% in 2016/17, which has brought </w:t>
      </w:r>
      <w:r w:rsidR="00A22099">
        <w:rPr>
          <w:rFonts w:ascii="Open Sans" w:hAnsi="Open Sans" w:cs="Open Sans"/>
        </w:rPr>
        <w:t>an additional £75m into the local economy. Spending within Lancashire has increased from 39% to over 79%, bringing an additional £200m into th</w:t>
      </w:r>
      <w:bookmarkStart w:id="56" w:name="_Hlk495485288"/>
      <w:r w:rsidR="00A22099">
        <w:rPr>
          <w:rFonts w:ascii="Open Sans" w:hAnsi="Open Sans" w:cs="Open Sans"/>
        </w:rPr>
        <w:t>e Lancashire economy, demonstrating the potential of an anchor institution approach to building community wealth.</w:t>
      </w:r>
    </w:p>
    <w:p w:rsidR="00740896" w:rsidRDefault="00740896" w:rsidP="00047C78">
      <w:pPr>
        <w:pStyle w:val="BodyText"/>
        <w:spacing w:after="0"/>
        <w:ind w:left="0" w:firstLine="720"/>
        <w:rPr>
          <w:rFonts w:ascii="Open Sans" w:hAnsi="Open Sans" w:cs="Open Sans"/>
          <w:b/>
          <w:i/>
        </w:rPr>
      </w:pPr>
      <w:r w:rsidRPr="00740896">
        <w:rPr>
          <w:rFonts w:ascii="Open Sans" w:hAnsi="Open Sans" w:cs="Open Sans"/>
          <w:b/>
          <w:i/>
        </w:rPr>
        <w:t xml:space="preserve">Localising spend in </w:t>
      </w:r>
      <w:r w:rsidR="00087D8D" w:rsidRPr="00740896">
        <w:rPr>
          <w:rFonts w:ascii="Open Sans" w:hAnsi="Open Sans" w:cs="Open Sans"/>
          <w:b/>
          <w:i/>
        </w:rPr>
        <w:t xml:space="preserve">Preston </w:t>
      </w:r>
    </w:p>
    <w:tbl>
      <w:tblPr>
        <w:tblStyle w:val="TableGrid"/>
        <w:tblpPr w:leftFromText="180" w:rightFromText="180" w:vertAnchor="text" w:horzAnchor="page" w:tblpX="1876" w:tblpY="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15"/>
      </w:tblGrid>
      <w:tr w:rsidR="00740896" w:rsidTr="00740896">
        <w:tc>
          <w:tcPr>
            <w:tcW w:w="4814" w:type="dxa"/>
            <w:vAlign w:val="center"/>
          </w:tcPr>
          <w:p w:rsidR="00740896" w:rsidRDefault="00740896" w:rsidP="00740896">
            <w:pPr>
              <w:pStyle w:val="BodyText"/>
              <w:ind w:left="0"/>
              <w:jc w:val="center"/>
              <w:rPr>
                <w:rFonts w:ascii="Open Sans" w:hAnsi="Open Sans" w:cs="Open Sans"/>
                <w:b/>
                <w:i/>
              </w:rPr>
            </w:pPr>
            <w:r>
              <w:rPr>
                <w:noProof/>
                <w:lang w:eastAsia="en-GB"/>
              </w:rPr>
              <w:drawing>
                <wp:anchor distT="0" distB="0" distL="114300" distR="114300" simplePos="0" relativeHeight="251665408" behindDoc="0" locked="0" layoutInCell="1" allowOverlap="1" wp14:anchorId="2329283C" wp14:editId="03B4FAAC">
                  <wp:simplePos x="0" y="0"/>
                  <wp:positionH relativeFrom="column">
                    <wp:posOffset>-62230</wp:posOffset>
                  </wp:positionH>
                  <wp:positionV relativeFrom="paragraph">
                    <wp:posOffset>231140</wp:posOffset>
                  </wp:positionV>
                  <wp:extent cx="2963545" cy="1173480"/>
                  <wp:effectExtent l="0" t="0" r="825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1516" t="29957" r="30750" b="41447"/>
                          <a:stretch/>
                        </pic:blipFill>
                        <pic:spPr bwMode="auto">
                          <a:xfrm>
                            <a:off x="0" y="0"/>
                            <a:ext cx="2963545" cy="1173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815" w:type="dxa"/>
          </w:tcPr>
          <w:p w:rsidR="00740896" w:rsidRDefault="00740896" w:rsidP="00740896">
            <w:pPr>
              <w:pStyle w:val="BodyText"/>
              <w:ind w:left="0"/>
              <w:rPr>
                <w:rFonts w:ascii="Open Sans" w:hAnsi="Open Sans" w:cs="Open Sans"/>
                <w:b/>
                <w:i/>
              </w:rPr>
            </w:pPr>
            <w:r>
              <w:rPr>
                <w:noProof/>
                <w:lang w:eastAsia="en-GB"/>
              </w:rPr>
              <w:drawing>
                <wp:anchor distT="0" distB="0" distL="114300" distR="114300" simplePos="0" relativeHeight="251664384" behindDoc="0" locked="0" layoutInCell="1" allowOverlap="1" wp14:anchorId="010E38FC" wp14:editId="19ACC56F">
                  <wp:simplePos x="0" y="0"/>
                  <wp:positionH relativeFrom="column">
                    <wp:posOffset>123190</wp:posOffset>
                  </wp:positionH>
                  <wp:positionV relativeFrom="paragraph">
                    <wp:posOffset>227965</wp:posOffset>
                  </wp:positionV>
                  <wp:extent cx="2857500" cy="11550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1516" t="58942" r="30750" b="11879"/>
                          <a:stretch/>
                        </pic:blipFill>
                        <pic:spPr bwMode="auto">
                          <a:xfrm>
                            <a:off x="0" y="0"/>
                            <a:ext cx="2857500" cy="1155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740896" w:rsidRDefault="00740896" w:rsidP="00740896">
      <w:pPr>
        <w:pStyle w:val="BodyText"/>
        <w:ind w:left="0" w:firstLine="720"/>
        <w:rPr>
          <w:rFonts w:ascii="Open Sans" w:hAnsi="Open Sans" w:cs="Open Sans"/>
          <w:b/>
          <w:i/>
        </w:rPr>
      </w:pPr>
    </w:p>
    <w:p w:rsidR="00740896" w:rsidRPr="00740896" w:rsidRDefault="00740896" w:rsidP="00740896">
      <w:pPr>
        <w:pStyle w:val="BodyText"/>
        <w:ind w:left="0" w:firstLine="720"/>
        <w:rPr>
          <w:rFonts w:ascii="Open Sans" w:hAnsi="Open Sans" w:cs="Open Sans"/>
          <w:b/>
          <w:i/>
        </w:rPr>
      </w:pPr>
    </w:p>
    <w:bookmarkEnd w:id="56"/>
    <w:p w:rsidR="00421C47" w:rsidRDefault="00421C47" w:rsidP="00421C47">
      <w:pPr>
        <w:pStyle w:val="BodyText"/>
      </w:pPr>
      <w:r>
        <w:t> </w:t>
      </w:r>
    </w:p>
    <w:p w:rsidR="0073349E" w:rsidRDefault="0073349E" w:rsidP="00710268">
      <w:pPr>
        <w:pStyle w:val="BodyText"/>
      </w:pPr>
    </w:p>
    <w:sectPr w:rsidR="0073349E" w:rsidSect="0037733F">
      <w:headerReference w:type="default" r:id="rId12"/>
      <w:footerReference w:type="default" r:id="rId13"/>
      <w:headerReference w:type="first" r:id="rId14"/>
      <w:footerReference w:type="first" r:id="rId15"/>
      <w:pgSz w:w="11907" w:h="16839" w:code="9"/>
      <w:pgMar w:top="1134" w:right="1134" w:bottom="1134" w:left="1134"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728" w:rsidRDefault="002D7728" w:rsidP="003576EE">
      <w:r>
        <w:separator/>
      </w:r>
    </w:p>
  </w:endnote>
  <w:endnote w:type="continuationSeparator" w:id="0">
    <w:p w:rsidR="002D7728" w:rsidRDefault="002D7728" w:rsidP="0035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B9E" w:rsidRPr="00C30ACC" w:rsidRDefault="004D2B9E" w:rsidP="00B92934">
    <w:pPr>
      <w:pStyle w:val="CoverFooter"/>
      <w:rPr>
        <w:rFonts w:ascii="Open Sans" w:hAnsi="Open Sans" w:cs="Open Sans"/>
      </w:rPr>
    </w:pPr>
    <w:r w:rsidRPr="00C30ACC">
      <w:rPr>
        <w:rFonts w:ascii="Open Sans" w:hAnsi="Open Sans" w:cs="Open Sans"/>
      </w:rPr>
      <w:t>The Centre for Local Economic Strategies is a company limited by guarantee no 4242937 with charitable status no. 1089503.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B9E" w:rsidRPr="00821CA8" w:rsidRDefault="004D2B9E" w:rsidP="002E3460">
    <w:pPr>
      <w:pStyle w:val="Footer"/>
      <w:rPr>
        <w:rFonts w:ascii="Open Sans" w:hAnsi="Open Sans" w:cs="Open Sans"/>
      </w:rPr>
    </w:pPr>
    <w:r w:rsidRPr="00821CA8">
      <w:rPr>
        <w:rFonts w:ascii="Open Sans" w:hAnsi="Open Sans" w:cs="Open Sans"/>
      </w:rPr>
      <w:t xml:space="preserve">Centre for Local Economic Strategies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B9E" w:rsidRDefault="004D2B9E" w:rsidP="009668C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728" w:rsidRDefault="002D7728" w:rsidP="003576EE">
      <w:r>
        <w:separator/>
      </w:r>
    </w:p>
  </w:footnote>
  <w:footnote w:type="continuationSeparator" w:id="0">
    <w:p w:rsidR="002D7728" w:rsidRDefault="002D7728" w:rsidP="003576EE">
      <w:r>
        <w:continuationSeparator/>
      </w:r>
    </w:p>
  </w:footnote>
  <w:footnote w:id="1">
    <w:p w:rsidR="009D7C09" w:rsidRPr="009D7C09" w:rsidRDefault="009D7C09">
      <w:pPr>
        <w:pStyle w:val="FootnoteText"/>
        <w:rPr>
          <w:rFonts w:ascii="Open Sans" w:hAnsi="Open Sans" w:cs="Open Sans"/>
        </w:rPr>
      </w:pPr>
      <w:r w:rsidRPr="009D7C09">
        <w:rPr>
          <w:rStyle w:val="FootnoteReference"/>
          <w:rFonts w:ascii="Open Sans" w:hAnsi="Open Sans" w:cs="Open Sans"/>
        </w:rPr>
        <w:footnoteRef/>
      </w:r>
      <w:r w:rsidRPr="009D7C09">
        <w:rPr>
          <w:rFonts w:ascii="Open Sans" w:hAnsi="Open Sans" w:cs="Open Sans"/>
        </w:rPr>
        <w:t xml:space="preserve"> </w:t>
      </w:r>
      <w:hyperlink r:id="rId1" w:history="1">
        <w:r w:rsidRPr="009D7C09">
          <w:rPr>
            <w:rStyle w:val="Hyperlink"/>
            <w:rFonts w:ascii="Open Sans" w:hAnsi="Open Sans" w:cs="Open Sans"/>
          </w:rPr>
          <w:t>https://www.economicshelp.org/blog/21435/economics/pareto-improvement/</w:t>
        </w:r>
      </w:hyperlink>
      <w:r w:rsidRPr="009D7C09">
        <w:rPr>
          <w:rFonts w:ascii="Open Sans" w:hAnsi="Open Sans" w:cs="Open Sans"/>
        </w:rPr>
        <w:t xml:space="preserve"> </w:t>
      </w:r>
    </w:p>
  </w:footnote>
  <w:footnote w:id="2">
    <w:p w:rsidR="004D2B9E" w:rsidRPr="000E0388" w:rsidRDefault="004D2B9E">
      <w:pPr>
        <w:pStyle w:val="FootnoteText"/>
        <w:rPr>
          <w:rFonts w:ascii="Open Sans" w:hAnsi="Open Sans" w:cs="Open Sans"/>
        </w:rPr>
      </w:pPr>
      <w:r w:rsidRPr="000E0388">
        <w:rPr>
          <w:rStyle w:val="FootnoteReference"/>
          <w:rFonts w:ascii="Open Sans" w:hAnsi="Open Sans" w:cs="Open Sans"/>
        </w:rPr>
        <w:footnoteRef/>
      </w:r>
      <w:r w:rsidRPr="000E0388">
        <w:rPr>
          <w:rFonts w:ascii="Open Sans" w:hAnsi="Open Sans" w:cs="Open Sans"/>
        </w:rPr>
        <w:t xml:space="preserve"> http://www.councils.coop/</w:t>
      </w:r>
    </w:p>
  </w:footnote>
  <w:footnote w:id="3">
    <w:p w:rsidR="004D2B9E" w:rsidRPr="003B31B7" w:rsidRDefault="004D2B9E">
      <w:pPr>
        <w:pStyle w:val="FootnoteText"/>
        <w:rPr>
          <w:rFonts w:ascii="Open Sans" w:hAnsi="Open Sans" w:cs="Open Sans"/>
        </w:rPr>
      </w:pPr>
      <w:r w:rsidRPr="003B31B7">
        <w:rPr>
          <w:rStyle w:val="FootnoteReference"/>
          <w:rFonts w:ascii="Open Sans" w:hAnsi="Open Sans" w:cs="Open Sans"/>
        </w:rPr>
        <w:footnoteRef/>
      </w:r>
      <w:r w:rsidRPr="003B31B7">
        <w:rPr>
          <w:rFonts w:ascii="Open Sans" w:hAnsi="Open Sans" w:cs="Open Sans"/>
        </w:rPr>
        <w:t xml:space="preserve"> See section 5</w:t>
      </w:r>
      <w:r>
        <w:rPr>
          <w:rFonts w:ascii="Open Sans" w:hAnsi="Open Sans" w:cs="Open Sans"/>
        </w:rPr>
        <w:t>.1.2</w:t>
      </w:r>
      <w:r w:rsidRPr="003B31B7">
        <w:rPr>
          <w:rFonts w:ascii="Open Sans" w:hAnsi="Open Sans" w:cs="Open Sans"/>
        </w:rPr>
        <w:t xml:space="preserve"> for an explanation of ‘influenceable spend’</w:t>
      </w:r>
    </w:p>
  </w:footnote>
  <w:footnote w:id="4">
    <w:p w:rsidR="004D2B9E" w:rsidRPr="008C2A8B" w:rsidRDefault="004D2B9E" w:rsidP="008C2A8B">
      <w:pPr>
        <w:pStyle w:val="FootnoteText"/>
        <w:rPr>
          <w:rFonts w:ascii="Open Sans" w:hAnsi="Open Sans" w:cs="Open Sans"/>
        </w:rPr>
      </w:pPr>
      <w:r w:rsidRPr="008C2A8B">
        <w:rPr>
          <w:rStyle w:val="FootnoteReference"/>
          <w:rFonts w:ascii="Open Sans" w:hAnsi="Open Sans" w:cs="Open Sans"/>
        </w:rPr>
        <w:footnoteRef/>
      </w:r>
      <w:r w:rsidRPr="008C2A8B">
        <w:rPr>
          <w:rFonts w:ascii="Open Sans" w:hAnsi="Open Sans" w:cs="Open Sans"/>
        </w:rPr>
        <w:t xml:space="preserve"> Protecting Community Facilities for the Future, </w:t>
      </w:r>
      <w:hyperlink r:id="rId2" w:history="1">
        <w:r w:rsidRPr="008C2A8B">
          <w:rPr>
            <w:rStyle w:val="Hyperlink"/>
            <w:rFonts w:ascii="Open Sans" w:hAnsi="Open Sans" w:cs="Open Sans"/>
          </w:rPr>
          <w:t>https://www.southtyneside.gov.uk/article/57429/Protecting-Community-Facilities-for-the-Future</w:t>
        </w:r>
      </w:hyperlink>
      <w:r w:rsidRPr="008C2A8B">
        <w:rPr>
          <w:rFonts w:ascii="Open Sans" w:hAnsi="Open Sans" w:cs="Open Sans"/>
        </w:rPr>
        <w:t xml:space="preserve"> </w:t>
      </w:r>
    </w:p>
  </w:footnote>
  <w:footnote w:id="5">
    <w:p w:rsidR="004D2B9E" w:rsidRPr="00486A9F" w:rsidRDefault="004D2B9E">
      <w:pPr>
        <w:pStyle w:val="FootnoteText"/>
        <w:rPr>
          <w:rFonts w:ascii="Open Sans" w:hAnsi="Open Sans" w:cs="Open Sans"/>
        </w:rPr>
      </w:pPr>
      <w:r w:rsidRPr="00486A9F">
        <w:rPr>
          <w:rStyle w:val="FootnoteReference"/>
          <w:rFonts w:ascii="Open Sans" w:hAnsi="Open Sans" w:cs="Open Sans"/>
        </w:rPr>
        <w:footnoteRef/>
      </w:r>
      <w:r w:rsidRPr="00486A9F">
        <w:rPr>
          <w:rFonts w:ascii="Open Sans" w:hAnsi="Open Sans" w:cs="Open Sans"/>
        </w:rPr>
        <w:t xml:space="preserve"> </w:t>
      </w:r>
      <w:hyperlink r:id="rId3" w:history="1">
        <w:r w:rsidRPr="00486A9F">
          <w:rPr>
            <w:rStyle w:val="Hyperlink"/>
            <w:rFonts w:ascii="Open Sans" w:hAnsi="Open Sans" w:cs="Open Sans"/>
          </w:rPr>
          <w:t>http://www.granby4streetsclt.co.uk/</w:t>
        </w:r>
      </w:hyperlink>
      <w:r w:rsidRPr="00486A9F">
        <w:rPr>
          <w:rFonts w:ascii="Open Sans" w:hAnsi="Open Sans" w:cs="Open Sans"/>
        </w:rPr>
        <w:t xml:space="preserve"> </w:t>
      </w:r>
    </w:p>
  </w:footnote>
  <w:footnote w:id="6">
    <w:p w:rsidR="004D2B9E" w:rsidRDefault="004D2B9E">
      <w:pPr>
        <w:pStyle w:val="FootnoteText"/>
      </w:pPr>
      <w:r w:rsidRPr="00486A9F">
        <w:rPr>
          <w:rStyle w:val="FootnoteReference"/>
          <w:rFonts w:ascii="Open Sans" w:hAnsi="Open Sans" w:cs="Open Sans"/>
        </w:rPr>
        <w:footnoteRef/>
      </w:r>
      <w:r w:rsidRPr="00486A9F">
        <w:rPr>
          <w:rFonts w:ascii="Open Sans" w:hAnsi="Open Sans" w:cs="Open Sans"/>
        </w:rPr>
        <w:t xml:space="preserve"> </w:t>
      </w:r>
      <w:hyperlink r:id="rId4" w:history="1">
        <w:r w:rsidRPr="000E1B76">
          <w:rPr>
            <w:rStyle w:val="Hyperlink"/>
            <w:rFonts w:ascii="Open Sans" w:hAnsi="Open Sans" w:cs="Open Sans"/>
          </w:rPr>
          <w:t>http://www.homesforholsworthy.org.uk/</w:t>
        </w:r>
      </w:hyperlink>
      <w:r>
        <w:rPr>
          <w:rFonts w:ascii="Open Sans" w:hAnsi="Open Sans" w:cs="Open Sans"/>
        </w:rPr>
        <w:t xml:space="preserve"> </w:t>
      </w:r>
    </w:p>
  </w:footnote>
  <w:footnote w:id="7">
    <w:p w:rsidR="004D2B9E" w:rsidRPr="00865062" w:rsidRDefault="004D2B9E" w:rsidP="00865062">
      <w:pPr>
        <w:pStyle w:val="FootnoteText"/>
        <w:jc w:val="left"/>
        <w:rPr>
          <w:rFonts w:ascii="Open Sans" w:hAnsi="Open Sans" w:cs="Open Sans"/>
        </w:rPr>
      </w:pPr>
      <w:r w:rsidRPr="00865062">
        <w:rPr>
          <w:rStyle w:val="FootnoteReference"/>
          <w:rFonts w:ascii="Open Sans" w:hAnsi="Open Sans" w:cs="Open Sans"/>
        </w:rPr>
        <w:footnoteRef/>
      </w:r>
      <w:r w:rsidRPr="00865062">
        <w:rPr>
          <w:rFonts w:ascii="Open Sans" w:hAnsi="Open Sans" w:cs="Open Sans"/>
        </w:rPr>
        <w:t xml:space="preserve"> </w:t>
      </w:r>
      <w:r w:rsidRPr="009F1EFB">
        <w:rPr>
          <w:rFonts w:ascii="Open Sans" w:hAnsi="Open Sans" w:cs="Open Sans"/>
        </w:rPr>
        <w:t>The UK Commission for Employment and Skills</w:t>
      </w:r>
      <w:r>
        <w:rPr>
          <w:rFonts w:ascii="Open Sans" w:hAnsi="Open Sans" w:cs="Open Sans"/>
        </w:rPr>
        <w:t>,</w:t>
      </w:r>
      <w:r w:rsidRPr="009F1EFB">
        <w:rPr>
          <w:rFonts w:ascii="Open Sans" w:hAnsi="Open Sans" w:cs="Open Sans"/>
        </w:rPr>
        <w:t xml:space="preserve"> </w:t>
      </w:r>
      <w:r w:rsidRPr="00865062">
        <w:rPr>
          <w:rFonts w:ascii="Open Sans" w:hAnsi="Open Sans" w:cs="Open Sans"/>
        </w:rPr>
        <w:t xml:space="preserve">Employer practice in progressing low paid staff, </w:t>
      </w:r>
      <w:hyperlink r:id="rId5" w:history="1">
        <w:r w:rsidRPr="00865062">
          <w:rPr>
            <w:rStyle w:val="Hyperlink"/>
            <w:rFonts w:ascii="Open Sans" w:hAnsi="Open Sans" w:cs="Open Sans"/>
          </w:rPr>
          <w:t>http://webarchive.nationalarchives.gov.uk/20140108132932/http://www.ukces.org.uk/assets/ukces/docs/publications/employer-practice-in-progressing-low-paid-staff.pdf</w:t>
        </w:r>
      </w:hyperlink>
      <w:r w:rsidRPr="00865062">
        <w:rPr>
          <w:rFonts w:ascii="Open Sans" w:hAnsi="Open Sans" w:cs="Open Sans"/>
        </w:rPr>
        <w:t xml:space="preserve"> </w:t>
      </w:r>
    </w:p>
  </w:footnote>
  <w:footnote w:id="8">
    <w:p w:rsidR="004D2B9E" w:rsidRPr="00FE2438" w:rsidRDefault="004D2B9E">
      <w:pPr>
        <w:pStyle w:val="FootnoteText"/>
        <w:rPr>
          <w:rFonts w:ascii="Open Sans" w:hAnsi="Open Sans" w:cs="Open Sans"/>
        </w:rPr>
      </w:pPr>
      <w:r w:rsidRPr="00FE2438">
        <w:rPr>
          <w:rStyle w:val="FootnoteReference"/>
          <w:rFonts w:ascii="Open Sans" w:hAnsi="Open Sans" w:cs="Open Sans"/>
        </w:rPr>
        <w:footnoteRef/>
      </w:r>
      <w:r w:rsidRPr="00FE2438">
        <w:rPr>
          <w:rFonts w:ascii="Open Sans" w:hAnsi="Open Sans" w:cs="Open Sans"/>
        </w:rPr>
        <w:t xml:space="preserve"> </w:t>
      </w:r>
      <w:hyperlink r:id="rId6" w:history="1">
        <w:r w:rsidRPr="00FE2438">
          <w:rPr>
            <w:rStyle w:val="Hyperlink"/>
            <w:rFonts w:ascii="Open Sans" w:hAnsi="Open Sans" w:cs="Open Sans"/>
          </w:rPr>
          <w:t>https://www.barnsley.gov.uk/media/3063/employment-and-skills-strategy.pdf</w:t>
        </w:r>
      </w:hyperlink>
      <w:r w:rsidRPr="00FE2438">
        <w:rPr>
          <w:rFonts w:ascii="Open Sans" w:hAnsi="Open Sans" w:cs="Open Sans"/>
        </w:rPr>
        <w:t xml:space="preserve"> </w:t>
      </w:r>
    </w:p>
  </w:footnote>
  <w:footnote w:id="9">
    <w:p w:rsidR="004D2B9E" w:rsidRDefault="004D2B9E" w:rsidP="004D2B9E">
      <w:pPr>
        <w:pStyle w:val="FootnoteText"/>
      </w:pPr>
      <w:r>
        <w:rPr>
          <w:rStyle w:val="FootnoteReference"/>
        </w:rPr>
        <w:footnoteRef/>
      </w:r>
      <w:r>
        <w:t xml:space="preserve"> </w:t>
      </w:r>
      <w:r w:rsidRPr="004D2B9E">
        <w:t>CRESC</w:t>
      </w:r>
      <w:r>
        <w:t xml:space="preserve"> </w:t>
      </w:r>
      <w:r w:rsidRPr="004D2B9E">
        <w:t>working</w:t>
      </w:r>
      <w:r>
        <w:t xml:space="preserve"> </w:t>
      </w:r>
      <w:r w:rsidRPr="004D2B9E">
        <w:t>paper</w:t>
      </w:r>
      <w:r>
        <w:t xml:space="preserve"> </w:t>
      </w:r>
      <w:r w:rsidRPr="004D2B9E">
        <w:t>no.</w:t>
      </w:r>
      <w:r>
        <w:t xml:space="preserve"> </w:t>
      </w:r>
      <w:r w:rsidRPr="004D2B9E">
        <w:t>131</w:t>
      </w:r>
      <w:r>
        <w:t xml:space="preserve">, Manifesto for the foundational economy, </w:t>
      </w:r>
      <w:hyperlink r:id="rId7" w:history="1">
        <w:r w:rsidRPr="003059F3">
          <w:rPr>
            <w:rStyle w:val="Hyperlink"/>
          </w:rPr>
          <w:t>http://hummedia.manchester.ac.uk/institutes/cresc/workingpapers/wp131.pdf</w:t>
        </w:r>
      </w:hyperlink>
      <w:r>
        <w:t xml:space="preserve"> </w:t>
      </w:r>
    </w:p>
  </w:footnote>
  <w:footnote w:id="10">
    <w:p w:rsidR="004D2B9E" w:rsidRPr="00740896" w:rsidRDefault="004D2B9E">
      <w:pPr>
        <w:pStyle w:val="FootnoteText"/>
        <w:rPr>
          <w:rFonts w:ascii="Open Sans" w:hAnsi="Open Sans" w:cs="Open Sans"/>
        </w:rPr>
      </w:pPr>
      <w:r w:rsidRPr="00740896">
        <w:rPr>
          <w:rStyle w:val="FootnoteReference"/>
          <w:rFonts w:ascii="Open Sans" w:hAnsi="Open Sans" w:cs="Open Sans"/>
        </w:rPr>
        <w:footnoteRef/>
      </w:r>
      <w:r w:rsidRPr="00740896">
        <w:rPr>
          <w:rFonts w:ascii="Open Sans" w:hAnsi="Open Sans" w:cs="Open Sans"/>
        </w:rPr>
        <w:t xml:space="preserve"> </w:t>
      </w:r>
      <w:hyperlink r:id="rId8" w:history="1">
        <w:r w:rsidRPr="00740896">
          <w:rPr>
            <w:rStyle w:val="Hyperlink"/>
            <w:rFonts w:ascii="Open Sans" w:hAnsi="Open Sans" w:cs="Open Sans"/>
          </w:rPr>
          <w:t>http://www.mondragon-corporation.com/en/</w:t>
        </w:r>
      </w:hyperlink>
      <w:r w:rsidRPr="00740896">
        <w:rPr>
          <w:rFonts w:ascii="Open Sans" w:hAnsi="Open Sans" w:cs="Open Sans"/>
        </w:rPr>
        <w:t xml:space="preserve"> </w:t>
      </w:r>
    </w:p>
  </w:footnote>
  <w:footnote w:id="11">
    <w:p w:rsidR="004D2B9E" w:rsidRPr="00740896" w:rsidRDefault="004D2B9E">
      <w:pPr>
        <w:pStyle w:val="FootnoteText"/>
        <w:rPr>
          <w:rFonts w:ascii="Open Sans" w:hAnsi="Open Sans" w:cs="Open Sans"/>
        </w:rPr>
      </w:pPr>
      <w:r w:rsidRPr="00740896">
        <w:rPr>
          <w:rStyle w:val="FootnoteReference"/>
          <w:rFonts w:ascii="Open Sans" w:hAnsi="Open Sans" w:cs="Open Sans"/>
        </w:rPr>
        <w:footnoteRef/>
      </w:r>
      <w:r w:rsidRPr="00740896">
        <w:rPr>
          <w:rFonts w:ascii="Open Sans" w:hAnsi="Open Sans" w:cs="Open Sans"/>
        </w:rPr>
        <w:t xml:space="preserve"> </w:t>
      </w:r>
      <w:hyperlink r:id="rId9" w:history="1">
        <w:r w:rsidRPr="00740896">
          <w:rPr>
            <w:rStyle w:val="Hyperlink"/>
            <w:rFonts w:ascii="Open Sans" w:hAnsi="Open Sans" w:cs="Open Sans"/>
          </w:rPr>
          <w:t>http://www.evgoh.com/</w:t>
        </w:r>
      </w:hyperlink>
      <w:r w:rsidRPr="00740896">
        <w:rPr>
          <w:rFonts w:ascii="Open Sans" w:hAnsi="Open Sans" w:cs="Open Sans"/>
        </w:rPr>
        <w:t xml:space="preserve"> </w:t>
      </w:r>
    </w:p>
  </w:footnote>
  <w:footnote w:id="12">
    <w:p w:rsidR="004D2B9E" w:rsidRPr="00740896" w:rsidRDefault="004D2B9E" w:rsidP="005E5E00">
      <w:pPr>
        <w:pStyle w:val="FootnoteText"/>
        <w:rPr>
          <w:rFonts w:ascii="Open Sans" w:hAnsi="Open Sans" w:cs="Open Sans"/>
        </w:rPr>
      </w:pPr>
      <w:r w:rsidRPr="00740896">
        <w:rPr>
          <w:rStyle w:val="FootnoteReference"/>
          <w:rFonts w:ascii="Open Sans" w:hAnsi="Open Sans" w:cs="Open Sans"/>
        </w:rPr>
        <w:footnoteRef/>
      </w:r>
      <w:r w:rsidRPr="00740896">
        <w:rPr>
          <w:rFonts w:ascii="Open Sans" w:hAnsi="Open Sans" w:cs="Open Sans"/>
        </w:rPr>
        <w:t xml:space="preserve"> Manley &amp; Froggett (2016) Co-operative Activity in Preston: A Report written for Preston City Council by the Psychosocial Research Unit, University of Central Lancashire, UCLAN, </w:t>
      </w:r>
      <w:hyperlink r:id="rId10" w:history="1">
        <w:r w:rsidRPr="00740896">
          <w:rPr>
            <w:rStyle w:val="Hyperlink"/>
            <w:rFonts w:ascii="Open Sans" w:hAnsi="Open Sans" w:cs="Open Sans"/>
          </w:rPr>
          <w:t>http://clok.uclan.ac.uk/14526/1/Co-operative%20activity%20PrestonREPORT%20copy.pdf</w:t>
        </w:r>
      </w:hyperlink>
      <w:r w:rsidRPr="00740896">
        <w:rPr>
          <w:rFonts w:ascii="Open Sans" w:hAnsi="Open Sans" w:cs="Open Sans"/>
        </w:rPr>
        <w:t xml:space="preserve"> </w:t>
      </w:r>
    </w:p>
  </w:footnote>
  <w:footnote w:id="13">
    <w:p w:rsidR="004D2B9E" w:rsidRPr="00740896" w:rsidRDefault="004D2B9E" w:rsidP="000D3BFF">
      <w:pPr>
        <w:pStyle w:val="FootnoteText"/>
        <w:rPr>
          <w:rFonts w:ascii="Open Sans" w:hAnsi="Open Sans" w:cs="Open Sans"/>
        </w:rPr>
      </w:pPr>
      <w:r w:rsidRPr="00740896">
        <w:rPr>
          <w:rStyle w:val="FootnoteReference"/>
          <w:rFonts w:ascii="Open Sans" w:hAnsi="Open Sans" w:cs="Open Sans"/>
        </w:rPr>
        <w:footnoteRef/>
      </w:r>
      <w:r w:rsidRPr="00740896">
        <w:rPr>
          <w:rFonts w:ascii="Open Sans" w:hAnsi="Open Sans" w:cs="Open Sans"/>
        </w:rPr>
        <w:t xml:space="preserve"> Disseminating ‘Simply Buyout’ resource a guide to employees buying businesses instead of investors, </w:t>
      </w:r>
      <w:hyperlink r:id="rId11" w:history="1">
        <w:r w:rsidRPr="00740896">
          <w:rPr>
            <w:rStyle w:val="Hyperlink"/>
            <w:rFonts w:ascii="Open Sans" w:hAnsi="Open Sans" w:cs="Open Sans"/>
          </w:rPr>
          <w:t>http://www.uk.coop/resources/simply-buyout</w:t>
        </w:r>
      </w:hyperlink>
      <w:r w:rsidRPr="00740896">
        <w:rPr>
          <w:rFonts w:ascii="Open Sans" w:hAnsi="Open Sans" w:cs="Open Sans"/>
        </w:rPr>
        <w:t xml:space="preserve"> </w:t>
      </w:r>
    </w:p>
  </w:footnote>
  <w:footnote w:id="14">
    <w:p w:rsidR="004D2B9E" w:rsidRDefault="004D2B9E">
      <w:pPr>
        <w:pStyle w:val="FootnoteText"/>
      </w:pPr>
      <w:r w:rsidRPr="00740896">
        <w:rPr>
          <w:rStyle w:val="FootnoteReference"/>
          <w:rFonts w:ascii="Open Sans" w:hAnsi="Open Sans" w:cs="Open Sans"/>
        </w:rPr>
        <w:footnoteRef/>
      </w:r>
      <w:r w:rsidRPr="00740896">
        <w:rPr>
          <w:rFonts w:ascii="Open Sans" w:hAnsi="Open Sans" w:cs="Open Sans"/>
        </w:rPr>
        <w:t xml:space="preserve"> </w:t>
      </w:r>
      <w:hyperlink r:id="rId12" w:history="1">
        <w:r w:rsidRPr="00740896">
          <w:rPr>
            <w:rStyle w:val="Hyperlink"/>
            <w:rFonts w:ascii="Open Sans" w:hAnsi="Open Sans" w:cs="Open Sans"/>
          </w:rPr>
          <w:t>https://www.glasgow.gov.uk/CHttpHandler.ashx?id=35036&amp;p=0</w:t>
        </w:r>
      </w:hyperlink>
      <w:r>
        <w:t xml:space="preserve"> </w:t>
      </w:r>
    </w:p>
  </w:footnote>
  <w:footnote w:id="15">
    <w:p w:rsidR="004D2B9E" w:rsidRPr="004B74D6" w:rsidRDefault="004D2B9E">
      <w:pPr>
        <w:pStyle w:val="FootnoteText"/>
        <w:rPr>
          <w:rFonts w:ascii="Open Sans" w:hAnsi="Open Sans" w:cs="Open Sans"/>
        </w:rPr>
      </w:pPr>
      <w:r w:rsidRPr="004B74D6">
        <w:rPr>
          <w:rStyle w:val="FootnoteReference"/>
          <w:rFonts w:ascii="Open Sans" w:hAnsi="Open Sans" w:cs="Open Sans"/>
        </w:rPr>
        <w:footnoteRef/>
      </w:r>
      <w:r w:rsidRPr="004B74D6">
        <w:rPr>
          <w:rFonts w:ascii="Open Sans" w:hAnsi="Open Sans" w:cs="Open Sans"/>
        </w:rPr>
        <w:t xml:space="preserve"> </w:t>
      </w:r>
      <w:hyperlink r:id="rId13" w:history="1">
        <w:r w:rsidRPr="000E1B76">
          <w:rPr>
            <w:rStyle w:val="Hyperlink"/>
            <w:rFonts w:ascii="Open Sans" w:hAnsi="Open Sans" w:cs="Open Sans"/>
          </w:rPr>
          <w:t>https://www.uk.coop/</w:t>
        </w:r>
      </w:hyperlink>
      <w:r>
        <w:rPr>
          <w:rFonts w:ascii="Open Sans" w:hAnsi="Open Sans" w:cs="Open Sans"/>
        </w:rPr>
        <w:t xml:space="preserve"> </w:t>
      </w:r>
    </w:p>
  </w:footnote>
  <w:footnote w:id="16">
    <w:p w:rsidR="004D2B9E" w:rsidRPr="004B74D6" w:rsidRDefault="004D2B9E">
      <w:pPr>
        <w:pStyle w:val="FootnoteText"/>
        <w:rPr>
          <w:rFonts w:ascii="Open Sans" w:hAnsi="Open Sans" w:cs="Open Sans"/>
        </w:rPr>
      </w:pPr>
      <w:r w:rsidRPr="004B74D6">
        <w:rPr>
          <w:rStyle w:val="FootnoteReference"/>
          <w:rFonts w:ascii="Open Sans" w:hAnsi="Open Sans" w:cs="Open Sans"/>
        </w:rPr>
        <w:footnoteRef/>
      </w:r>
      <w:r w:rsidRPr="004B74D6">
        <w:rPr>
          <w:rFonts w:ascii="Open Sans" w:hAnsi="Open Sans" w:cs="Open Sans"/>
        </w:rPr>
        <w:t xml:space="preserve"> </w:t>
      </w:r>
      <w:hyperlink r:id="rId14" w:history="1">
        <w:r w:rsidRPr="000E1B76">
          <w:rPr>
            <w:rStyle w:val="Hyperlink"/>
            <w:rFonts w:ascii="Open Sans" w:hAnsi="Open Sans" w:cs="Open Sans"/>
          </w:rPr>
          <w:t>http://locality.org.uk/our-work/</w:t>
        </w:r>
      </w:hyperlink>
      <w:r>
        <w:rPr>
          <w:rFonts w:ascii="Open Sans" w:hAnsi="Open Sans" w:cs="Open Sans"/>
        </w:rPr>
        <w:t xml:space="preserve"> </w:t>
      </w:r>
    </w:p>
  </w:footnote>
  <w:footnote w:id="17">
    <w:p w:rsidR="004D2B9E" w:rsidRPr="004B74D6" w:rsidRDefault="004D2B9E">
      <w:pPr>
        <w:pStyle w:val="FootnoteText"/>
        <w:rPr>
          <w:rFonts w:ascii="Open Sans" w:hAnsi="Open Sans" w:cs="Open Sans"/>
        </w:rPr>
      </w:pPr>
      <w:r w:rsidRPr="004B74D6">
        <w:rPr>
          <w:rStyle w:val="FootnoteReference"/>
          <w:rFonts w:ascii="Open Sans" w:hAnsi="Open Sans" w:cs="Open Sans"/>
        </w:rPr>
        <w:footnoteRef/>
      </w:r>
      <w:r w:rsidRPr="004B74D6">
        <w:rPr>
          <w:rFonts w:ascii="Open Sans" w:hAnsi="Open Sans" w:cs="Open Sans"/>
        </w:rPr>
        <w:t xml:space="preserve"> </w:t>
      </w:r>
      <w:hyperlink r:id="rId15" w:history="1">
        <w:r w:rsidRPr="000E1B76">
          <w:rPr>
            <w:rStyle w:val="Hyperlink"/>
            <w:rFonts w:ascii="Open Sans" w:hAnsi="Open Sans" w:cs="Open Sans"/>
          </w:rPr>
          <w:t>http://www.powertochange.org.uk/</w:t>
        </w:r>
      </w:hyperlink>
      <w:r>
        <w:rPr>
          <w:rFonts w:ascii="Open Sans" w:hAnsi="Open Sans" w:cs="Open San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135"/>
      <w:tblOverlap w:val="never"/>
      <w:tblW w:w="2268" w:type="dxa"/>
      <w:tblLayout w:type="fixed"/>
      <w:tblCellMar>
        <w:left w:w="0" w:type="dxa"/>
        <w:right w:w="0" w:type="dxa"/>
      </w:tblCellMar>
      <w:tblLook w:val="04A0" w:firstRow="1" w:lastRow="0" w:firstColumn="1" w:lastColumn="0" w:noHBand="0" w:noVBand="1"/>
    </w:tblPr>
    <w:tblGrid>
      <w:gridCol w:w="2268"/>
    </w:tblGrid>
    <w:tr w:rsidR="004D2B9E" w:rsidTr="00AE4B3D">
      <w:trPr>
        <w:trHeight w:hRule="exact" w:val="2268"/>
      </w:trPr>
      <w:tc>
        <w:tcPr>
          <w:tcW w:w="9855" w:type="dxa"/>
        </w:tcPr>
        <w:p w:rsidR="004D2B9E" w:rsidRDefault="004D2B9E" w:rsidP="00AE4B3D"/>
      </w:tc>
    </w:tr>
  </w:tbl>
  <w:p w:rsidR="004D2B9E" w:rsidRDefault="004D2B9E" w:rsidP="009F070B">
    <w:r>
      <w:rPr>
        <w:noProof/>
        <w:lang w:eastAsia="en-GB"/>
      </w:rPr>
      <w:drawing>
        <wp:anchor distT="0" distB="0" distL="114300" distR="114300" simplePos="0" relativeHeight="251657728" behindDoc="1" locked="0" layoutInCell="1" allowOverlap="1" wp14:anchorId="0205B243" wp14:editId="2F9462CC">
          <wp:simplePos x="0" y="0"/>
          <wp:positionH relativeFrom="page">
            <wp:posOffset>5807710</wp:posOffset>
          </wp:positionH>
          <wp:positionV relativeFrom="page">
            <wp:posOffset>720090</wp:posOffset>
          </wp:positionV>
          <wp:extent cx="1332230" cy="1034415"/>
          <wp:effectExtent l="0" t="0" r="0" b="0"/>
          <wp:wrapNone/>
          <wp:docPr id="1" name="Picture 1" descr="CLESlogosquare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Slogosquare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1034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B9E" w:rsidRPr="00821CA8" w:rsidRDefault="004D2B9E" w:rsidP="0037733F">
    <w:pPr>
      <w:pStyle w:val="Header"/>
      <w:rPr>
        <w:rFonts w:ascii="Open Sans" w:hAnsi="Open Sans" w:cs="Open Sans"/>
      </w:rPr>
    </w:pPr>
    <w:r w:rsidRPr="00C30ACC">
      <w:rPr>
        <w:rFonts w:ascii="Open Sans" w:hAnsi="Open Sans" w:cs="Open Sans"/>
      </w:rPr>
      <w:t>B</w:t>
    </w:r>
    <w:r>
      <w:rPr>
        <w:rFonts w:ascii="Open Sans" w:hAnsi="Open Sans" w:cs="Open Sans"/>
      </w:rPr>
      <w:t>uilding community wealth in D</w:t>
    </w:r>
    <w:r w:rsidRPr="00C30ACC">
      <w:rPr>
        <w:rFonts w:ascii="Open Sans" w:hAnsi="Open Sans" w:cs="Open Sans"/>
      </w:rPr>
      <w:t>oncaster via an anchor institution strategy</w:t>
    </w:r>
    <w:r w:rsidRPr="00821CA8">
      <w:rPr>
        <w:rFonts w:ascii="Open Sans" w:hAnsi="Open Sans" w:cs="Open Sans"/>
      </w:rPr>
      <w:t xml:space="preserve">: </w:t>
    </w:r>
    <w:r w:rsidRPr="00821CA8">
      <w:rPr>
        <w:rFonts w:ascii="Open Sans" w:hAnsi="Open Sans" w:cs="Open Sans"/>
      </w:rPr>
      <w:fldChar w:fldCharType="begin"/>
    </w:r>
    <w:r w:rsidRPr="00821CA8">
      <w:rPr>
        <w:rFonts w:ascii="Open Sans" w:hAnsi="Open Sans" w:cs="Open Sans"/>
      </w:rPr>
      <w:instrText xml:space="preserve"> ref "ReportType" </w:instrText>
    </w:r>
    <w:r>
      <w:rPr>
        <w:rFonts w:ascii="Open Sans" w:hAnsi="Open Sans" w:cs="Open Sans"/>
      </w:rPr>
      <w:instrText xml:space="preserve"> \* MERGEFORMAT </w:instrText>
    </w:r>
    <w:r w:rsidRPr="00821CA8">
      <w:rPr>
        <w:rFonts w:ascii="Open Sans" w:hAnsi="Open Sans" w:cs="Open Sans"/>
      </w:rPr>
      <w:fldChar w:fldCharType="separate"/>
    </w:r>
    <w:r>
      <w:rPr>
        <w:rFonts w:ascii="Open Sans" w:hAnsi="Open Sans" w:cs="Open Sans"/>
      </w:rPr>
      <w:t>Final report</w:t>
    </w:r>
    <w:r w:rsidRPr="00821CA8">
      <w:rPr>
        <w:rFonts w:ascii="Open Sans" w:hAnsi="Open Sans" w:cs="Open Sans"/>
      </w:rPr>
      <w:fldChar w:fldCharType="end"/>
    </w:r>
    <w:r w:rsidRPr="00821CA8">
      <w:rPr>
        <w:rFonts w:ascii="Open Sans" w:hAnsi="Open Sans" w:cs="Open Sans"/>
      </w:rPr>
      <w:tab/>
    </w:r>
    <w:r w:rsidRPr="00821CA8">
      <w:rPr>
        <w:rFonts w:ascii="Open Sans" w:hAnsi="Open Sans" w:cs="Open Sans"/>
      </w:rPr>
      <w:fldChar w:fldCharType="begin"/>
    </w:r>
    <w:r w:rsidRPr="00821CA8">
      <w:rPr>
        <w:rFonts w:ascii="Open Sans" w:hAnsi="Open Sans" w:cs="Open Sans"/>
      </w:rPr>
      <w:instrText xml:space="preserve"> page </w:instrText>
    </w:r>
    <w:r w:rsidRPr="00821CA8">
      <w:rPr>
        <w:rFonts w:ascii="Open Sans" w:hAnsi="Open Sans" w:cs="Open Sans"/>
      </w:rPr>
      <w:fldChar w:fldCharType="separate"/>
    </w:r>
    <w:r w:rsidR="00F05593">
      <w:rPr>
        <w:rFonts w:ascii="Open Sans" w:hAnsi="Open Sans" w:cs="Open Sans"/>
        <w:noProof/>
      </w:rPr>
      <w:t>1</w:t>
    </w:r>
    <w:r w:rsidRPr="00821CA8">
      <w:rPr>
        <w:rFonts w:ascii="Open Sans" w:hAnsi="Open Sans" w:cs="Open Sans"/>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B9E" w:rsidRDefault="00F05593" w:rsidP="009C0E9D">
    <w:pPr>
      <w:pStyle w:val="AppendixHeader"/>
    </w:pPr>
    <w:r>
      <w:fldChar w:fldCharType="begin"/>
    </w:r>
    <w:r>
      <w:instrText xml:space="preserve"> styleref Title </w:instrText>
    </w:r>
    <w:r>
      <w:fldChar w:fldCharType="separate"/>
    </w:r>
    <w:r w:rsidR="004D2B9E">
      <w:rPr>
        <w:noProof/>
      </w:rPr>
      <w:t xml:space="preserve">BUILDING COMMUNITY WEALTH IN </w:t>
    </w:r>
    <w:bookmarkStart w:id="57" w:name="_GoBack"/>
    <w:r w:rsidR="004D2B9E">
      <w:rPr>
        <w:noProof/>
      </w:rPr>
      <w:t>DONCASTER</w:t>
    </w:r>
    <w:bookmarkEnd w:id="57"/>
    <w:r w:rsidR="004D2B9E">
      <w:rPr>
        <w:noProof/>
      </w:rPr>
      <w:t xml:space="preserve"> VIA AN ANCHOR INSTITUTION STRATEGY</w:t>
    </w:r>
    <w:r>
      <w:rPr>
        <w:noProof/>
      </w:rPr>
      <w:fldChar w:fldCharType="end"/>
    </w:r>
    <w:r w:rsidR="004D2B9E">
      <w:tab/>
    </w:r>
    <w:r w:rsidR="004D2B9E">
      <w:fldChar w:fldCharType="begin"/>
    </w:r>
    <w:r w:rsidR="004D2B9E">
      <w:instrText xml:space="preserve"> page \* roman </w:instrText>
    </w:r>
    <w:r w:rsidR="004D2B9E">
      <w:fldChar w:fldCharType="separate"/>
    </w:r>
    <w:r w:rsidR="004D2B9E">
      <w:rPr>
        <w:noProof/>
      </w:rPr>
      <w:t>xxiii</w:t>
    </w:r>
    <w:r w:rsidR="004D2B9E">
      <w:fldChar w:fldCharType="end"/>
    </w:r>
  </w:p>
  <w:p w:rsidR="004D2B9E" w:rsidRPr="007820FF" w:rsidRDefault="004D2B9E" w:rsidP="007820F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5B4D8A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DE352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5238E1"/>
    <w:multiLevelType w:val="multilevel"/>
    <w:tmpl w:val="0604101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08293144"/>
    <w:multiLevelType w:val="multilevel"/>
    <w:tmpl w:val="C8063F3E"/>
    <w:lvl w:ilvl="0">
      <w:start w:val="1"/>
      <w:numFmt w:val="decimal"/>
      <w:pStyle w:val="ListNumber"/>
      <w:lvlText w:val="%1)"/>
      <w:lvlJc w:val="left"/>
      <w:pPr>
        <w:tabs>
          <w:tab w:val="num" w:pos="1304"/>
        </w:tabs>
        <w:ind w:left="1304" w:hanging="584"/>
      </w:pPr>
      <w:rPr>
        <w:rFonts w:ascii="Tahoma" w:hAnsi="Tahoma" w:hint="default"/>
        <w:b/>
        <w:i w:val="0"/>
        <w:color w:val="339966"/>
        <w:sz w:val="20"/>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0CE55274"/>
    <w:multiLevelType w:val="multilevel"/>
    <w:tmpl w:val="DE24A6B2"/>
    <w:name w:val="ParagraphBullet"/>
    <w:lvl w:ilvl="0">
      <w:start w:val="1"/>
      <w:numFmt w:val="bullet"/>
      <w:lvlText w:val=""/>
      <w:lvlJc w:val="left"/>
      <w:pPr>
        <w:ind w:left="2061" w:hanging="360"/>
      </w:pPr>
      <w:rPr>
        <w:rFonts w:ascii="Symbol" w:hAnsi="Symbol" w:hint="default"/>
        <w:b/>
        <w:i w:val="0"/>
        <w:color w:val="C73333"/>
      </w:rPr>
    </w:lvl>
    <w:lvl w:ilvl="1">
      <w:start w:val="1"/>
      <w:numFmt w:val="bullet"/>
      <w:lvlText w:val=""/>
      <w:lvlJc w:val="left"/>
      <w:pPr>
        <w:tabs>
          <w:tab w:val="num" w:pos="2415"/>
        </w:tabs>
        <w:ind w:left="2415" w:hanging="357"/>
      </w:pPr>
      <w:rPr>
        <w:rFonts w:ascii="Symbol" w:hAnsi="Symbol" w:hint="default"/>
        <w:color w:val="C73333"/>
      </w:rPr>
    </w:lvl>
    <w:lvl w:ilvl="2">
      <w:start w:val="1"/>
      <w:numFmt w:val="bullet"/>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DF778EE"/>
    <w:multiLevelType w:val="hybridMultilevel"/>
    <w:tmpl w:val="303A6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4230B1"/>
    <w:multiLevelType w:val="hybridMultilevel"/>
    <w:tmpl w:val="0D34F192"/>
    <w:lvl w:ilvl="0" w:tplc="C35AE566">
      <w:start w:val="1"/>
      <w:numFmt w:val="bullet"/>
      <w:pStyle w:val="Box1Bullet"/>
      <w:lvlText w:val=""/>
      <w:lvlJc w:val="left"/>
      <w:pPr>
        <w:tabs>
          <w:tab w:val="num" w:pos="369"/>
        </w:tabs>
        <w:ind w:left="369" w:hanging="369"/>
      </w:pPr>
      <w:rPr>
        <w:rFonts w:ascii="Symbol" w:hAnsi="Symbol" w:hint="default"/>
        <w:b w:val="0"/>
        <w:i w:val="0"/>
        <w:color w:val="3399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9F7E70"/>
    <w:multiLevelType w:val="multilevel"/>
    <w:tmpl w:val="5288B6BE"/>
    <w:lvl w:ilvl="0">
      <w:start w:val="1"/>
      <w:numFmt w:val="decimal"/>
      <w:pStyle w:val="FigureHeading"/>
      <w:suff w:val="space"/>
      <w:lvlText w:val="Figure %1:"/>
      <w:lvlJc w:val="left"/>
      <w:pPr>
        <w:ind w:left="1287" w:hanging="567"/>
      </w:pPr>
      <w:rPr>
        <w:rFonts w:ascii="Tahoma" w:hAnsi="Tahoma" w:hint="default"/>
        <w:b/>
        <w:i w:val="0"/>
        <w:color w:val="auto"/>
        <w:sz w:val="20"/>
        <w:u w:val="single"/>
      </w:rPr>
    </w:lvl>
    <w:lvl w:ilvl="1">
      <w:start w:val="1"/>
      <w:numFmt w:val="decimal"/>
      <w:lvlText w:val="%1.%2"/>
      <w:lvlJc w:val="left"/>
      <w:pPr>
        <w:tabs>
          <w:tab w:val="num" w:pos="1967"/>
        </w:tabs>
        <w:ind w:left="1967" w:hanging="680"/>
      </w:pPr>
      <w:rPr>
        <w:rFonts w:hint="default"/>
      </w:rPr>
    </w:lvl>
    <w:lvl w:ilvl="2">
      <w:start w:val="1"/>
      <w:numFmt w:val="decimal"/>
      <w:lvlText w:val="%1.%2.%3"/>
      <w:lvlJc w:val="left"/>
      <w:pPr>
        <w:tabs>
          <w:tab w:val="num" w:pos="2705"/>
        </w:tabs>
        <w:ind w:left="2705" w:hanging="738"/>
      </w:pPr>
      <w:rPr>
        <w:rFonts w:hint="default"/>
      </w:rPr>
    </w:lvl>
    <w:lvl w:ilvl="3">
      <w:start w:val="1"/>
      <w:numFmt w:val="decimal"/>
      <w:lvlText w:val="%1.%2.%3.%4"/>
      <w:lvlJc w:val="left"/>
      <w:pPr>
        <w:tabs>
          <w:tab w:val="num" w:pos="3555"/>
        </w:tabs>
        <w:ind w:left="3555" w:hanging="850"/>
      </w:pPr>
      <w:rPr>
        <w:rFonts w:hint="default"/>
      </w:rPr>
    </w:lvl>
    <w:lvl w:ilvl="4">
      <w:start w:val="1"/>
      <w:numFmt w:val="decimal"/>
      <w:lvlText w:val="%1.%2.%3.%4.%5"/>
      <w:lvlJc w:val="left"/>
      <w:pPr>
        <w:tabs>
          <w:tab w:val="num" w:pos="4689"/>
        </w:tabs>
        <w:ind w:left="4689" w:hanging="1134"/>
      </w:pPr>
      <w:rPr>
        <w:rFonts w:hint="default"/>
      </w:rPr>
    </w:lvl>
    <w:lvl w:ilvl="5">
      <w:start w:val="1"/>
      <w:numFmt w:val="lowerRoman"/>
      <w:lvlText w:val="(%6)"/>
      <w:lvlJc w:val="left"/>
      <w:pPr>
        <w:tabs>
          <w:tab w:val="num" w:pos="720"/>
        </w:tabs>
        <w:ind w:left="2880" w:hanging="360"/>
      </w:pPr>
      <w:rPr>
        <w:rFonts w:hint="default"/>
      </w:rPr>
    </w:lvl>
    <w:lvl w:ilvl="6">
      <w:start w:val="1"/>
      <w:numFmt w:val="decimal"/>
      <w:lvlText w:val="%7."/>
      <w:lvlJc w:val="left"/>
      <w:pPr>
        <w:tabs>
          <w:tab w:val="num" w:pos="720"/>
        </w:tabs>
        <w:ind w:left="3240" w:hanging="360"/>
      </w:pPr>
      <w:rPr>
        <w:rFonts w:hint="default"/>
      </w:rPr>
    </w:lvl>
    <w:lvl w:ilvl="7">
      <w:start w:val="1"/>
      <w:numFmt w:val="lowerLetter"/>
      <w:lvlText w:val="%8."/>
      <w:lvlJc w:val="left"/>
      <w:pPr>
        <w:tabs>
          <w:tab w:val="num" w:pos="720"/>
        </w:tabs>
        <w:ind w:left="3600" w:hanging="360"/>
      </w:pPr>
      <w:rPr>
        <w:rFonts w:hint="default"/>
      </w:rPr>
    </w:lvl>
    <w:lvl w:ilvl="8">
      <w:start w:val="1"/>
      <w:numFmt w:val="lowerRoman"/>
      <w:lvlText w:val="%9."/>
      <w:lvlJc w:val="left"/>
      <w:pPr>
        <w:tabs>
          <w:tab w:val="num" w:pos="720"/>
        </w:tabs>
        <w:ind w:left="3960" w:hanging="360"/>
      </w:pPr>
      <w:rPr>
        <w:rFonts w:hint="default"/>
      </w:rPr>
    </w:lvl>
  </w:abstractNum>
  <w:abstractNum w:abstractNumId="8" w15:restartNumberingAfterBreak="0">
    <w:nsid w:val="1C5A6609"/>
    <w:multiLevelType w:val="hybridMultilevel"/>
    <w:tmpl w:val="64DE33A2"/>
    <w:lvl w:ilvl="0" w:tplc="94F27426">
      <w:start w:val="1"/>
      <w:numFmt w:val="decimal"/>
      <w:pStyle w:val="TOC5"/>
      <w:lvlText w:val="%1"/>
      <w:lvlJc w:val="left"/>
      <w:pPr>
        <w:tabs>
          <w:tab w:val="num" w:pos="720"/>
        </w:tabs>
        <w:ind w:left="720" w:hanging="720"/>
      </w:pPr>
      <w:rPr>
        <w:rFonts w:ascii="Tahoma" w:hAnsi="Tahoma" w:hint="default"/>
        <w:b w:val="0"/>
        <w:i w:val="0"/>
        <w:color w:val="auto"/>
        <w:sz w:val="20"/>
      </w:rPr>
    </w:lvl>
    <w:lvl w:ilvl="1" w:tplc="08090019" w:tentative="1">
      <w:start w:val="1"/>
      <w:numFmt w:val="lowerLetter"/>
      <w:lvlText w:val="%2."/>
      <w:lvlJc w:val="left"/>
      <w:pPr>
        <w:ind w:left="2320" w:hanging="360"/>
      </w:pPr>
    </w:lvl>
    <w:lvl w:ilvl="2" w:tplc="0809001B" w:tentative="1">
      <w:start w:val="1"/>
      <w:numFmt w:val="lowerRoman"/>
      <w:lvlText w:val="%3."/>
      <w:lvlJc w:val="right"/>
      <w:pPr>
        <w:ind w:left="3040" w:hanging="180"/>
      </w:pPr>
    </w:lvl>
    <w:lvl w:ilvl="3" w:tplc="0809000F" w:tentative="1">
      <w:start w:val="1"/>
      <w:numFmt w:val="decimal"/>
      <w:lvlText w:val="%4."/>
      <w:lvlJc w:val="left"/>
      <w:pPr>
        <w:ind w:left="3760" w:hanging="360"/>
      </w:pPr>
    </w:lvl>
    <w:lvl w:ilvl="4" w:tplc="08090019" w:tentative="1">
      <w:start w:val="1"/>
      <w:numFmt w:val="lowerLetter"/>
      <w:lvlText w:val="%5."/>
      <w:lvlJc w:val="left"/>
      <w:pPr>
        <w:ind w:left="4480" w:hanging="360"/>
      </w:pPr>
    </w:lvl>
    <w:lvl w:ilvl="5" w:tplc="0809001B" w:tentative="1">
      <w:start w:val="1"/>
      <w:numFmt w:val="lowerRoman"/>
      <w:lvlText w:val="%6."/>
      <w:lvlJc w:val="right"/>
      <w:pPr>
        <w:ind w:left="5200" w:hanging="180"/>
      </w:pPr>
    </w:lvl>
    <w:lvl w:ilvl="6" w:tplc="0809000F" w:tentative="1">
      <w:start w:val="1"/>
      <w:numFmt w:val="decimal"/>
      <w:lvlText w:val="%7."/>
      <w:lvlJc w:val="left"/>
      <w:pPr>
        <w:ind w:left="5920" w:hanging="360"/>
      </w:pPr>
    </w:lvl>
    <w:lvl w:ilvl="7" w:tplc="08090019" w:tentative="1">
      <w:start w:val="1"/>
      <w:numFmt w:val="lowerLetter"/>
      <w:lvlText w:val="%8."/>
      <w:lvlJc w:val="left"/>
      <w:pPr>
        <w:ind w:left="6640" w:hanging="360"/>
      </w:pPr>
    </w:lvl>
    <w:lvl w:ilvl="8" w:tplc="0809001B" w:tentative="1">
      <w:start w:val="1"/>
      <w:numFmt w:val="lowerRoman"/>
      <w:lvlText w:val="%9."/>
      <w:lvlJc w:val="right"/>
      <w:pPr>
        <w:ind w:left="7360" w:hanging="180"/>
      </w:pPr>
    </w:lvl>
  </w:abstractNum>
  <w:abstractNum w:abstractNumId="9" w15:restartNumberingAfterBreak="0">
    <w:nsid w:val="24FD37AA"/>
    <w:multiLevelType w:val="hybridMultilevel"/>
    <w:tmpl w:val="192AA9FC"/>
    <w:lvl w:ilvl="0" w:tplc="84AE8544">
      <w:start w:val="1"/>
      <w:numFmt w:val="bullet"/>
      <w:pStyle w:val="FirstBullet"/>
      <w:lvlText w:val=""/>
      <w:lvlJc w:val="left"/>
      <w:pPr>
        <w:tabs>
          <w:tab w:val="num" w:pos="1304"/>
        </w:tabs>
        <w:ind w:left="1304" w:hanging="584"/>
      </w:pPr>
      <w:rPr>
        <w:rFonts w:ascii="Wingdings" w:hAnsi="Wingdings" w:hint="default"/>
        <w:color w:val="3399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E2573"/>
    <w:multiLevelType w:val="hybridMultilevel"/>
    <w:tmpl w:val="89809622"/>
    <w:lvl w:ilvl="0" w:tplc="9ADA072C">
      <w:start w:val="1"/>
      <w:numFmt w:val="decimal"/>
      <w:pStyle w:val="Box1Number"/>
      <w:lvlText w:val="%1)"/>
      <w:lvlJc w:val="left"/>
      <w:pPr>
        <w:tabs>
          <w:tab w:val="num" w:pos="369"/>
        </w:tabs>
        <w:ind w:left="369" w:hanging="369"/>
      </w:pPr>
      <w:rPr>
        <w:rFonts w:ascii="Tahoma" w:hAnsi="Tahoma" w:hint="default"/>
        <w:b/>
        <w:i w:val="0"/>
        <w:color w:val="339966"/>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D94183"/>
    <w:multiLevelType w:val="hybridMultilevel"/>
    <w:tmpl w:val="22684AF6"/>
    <w:lvl w:ilvl="0" w:tplc="CDA6D774">
      <w:start w:val="1"/>
      <w:numFmt w:val="bullet"/>
      <w:pStyle w:val="FirstBullet2"/>
      <w:lvlText w:val=""/>
      <w:lvlJc w:val="left"/>
      <w:pPr>
        <w:tabs>
          <w:tab w:val="num" w:pos="1673"/>
        </w:tabs>
        <w:ind w:left="1673" w:hanging="369"/>
      </w:pPr>
      <w:rPr>
        <w:rFonts w:ascii="Symbol" w:hAnsi="Symbol" w:hint="default"/>
        <w:color w:val="3399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1F16D1"/>
    <w:multiLevelType w:val="multilevel"/>
    <w:tmpl w:val="BD1A22A4"/>
    <w:lvl w:ilvl="0">
      <w:start w:val="1"/>
      <w:numFmt w:val="bullet"/>
      <w:lvlText w:val=""/>
      <w:lvlJc w:val="left"/>
      <w:pPr>
        <w:tabs>
          <w:tab w:val="num" w:pos="1304"/>
        </w:tabs>
        <w:ind w:left="1304" w:hanging="584"/>
      </w:pPr>
      <w:rPr>
        <w:rFonts w:ascii="Wingdings" w:hAnsi="Wingdings" w:hint="default"/>
        <w:b/>
        <w:i w:val="0"/>
        <w:color w:val="339966"/>
        <w:sz w:val="20"/>
      </w:rPr>
    </w:lvl>
    <w:lvl w:ilvl="1">
      <w:start w:val="1"/>
      <w:numFmt w:val="bullet"/>
      <w:pStyle w:val="ListBullet2"/>
      <w:lvlText w:val=""/>
      <w:lvlJc w:val="left"/>
      <w:pPr>
        <w:tabs>
          <w:tab w:val="num" w:pos="1673"/>
        </w:tabs>
        <w:ind w:left="1673" w:hanging="369"/>
      </w:pPr>
      <w:rPr>
        <w:rFonts w:ascii="Symbol" w:hAnsi="Symbol" w:hint="default"/>
        <w:color w:val="339966"/>
      </w:rPr>
    </w:lvl>
    <w:lvl w:ilvl="2">
      <w:start w:val="1"/>
      <w:numFmt w:val="bullet"/>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tabs>
          <w:tab w:val="num" w:pos="0"/>
        </w:tabs>
        <w:ind w:left="1704" w:hanging="284"/>
      </w:pPr>
      <w:rPr>
        <w:rFonts w:hint="default"/>
      </w:rPr>
    </w:lvl>
    <w:lvl w:ilvl="6">
      <w:start w:val="1"/>
      <w:numFmt w:val="decimal"/>
      <w:lvlText w:val="%7."/>
      <w:lvlJc w:val="left"/>
      <w:pPr>
        <w:tabs>
          <w:tab w:val="num" w:pos="0"/>
        </w:tabs>
        <w:ind w:left="1988" w:hanging="284"/>
      </w:pPr>
      <w:rPr>
        <w:rFonts w:hint="default"/>
      </w:rPr>
    </w:lvl>
    <w:lvl w:ilvl="7">
      <w:start w:val="1"/>
      <w:numFmt w:val="lowerLetter"/>
      <w:lvlText w:val="%8."/>
      <w:lvlJc w:val="left"/>
      <w:pPr>
        <w:tabs>
          <w:tab w:val="num" w:pos="0"/>
        </w:tabs>
        <w:ind w:left="2272" w:hanging="284"/>
      </w:pPr>
      <w:rPr>
        <w:rFonts w:hint="default"/>
      </w:rPr>
    </w:lvl>
    <w:lvl w:ilvl="8">
      <w:start w:val="1"/>
      <w:numFmt w:val="lowerRoman"/>
      <w:lvlText w:val="%9."/>
      <w:lvlJc w:val="left"/>
      <w:pPr>
        <w:tabs>
          <w:tab w:val="num" w:pos="0"/>
        </w:tabs>
        <w:ind w:left="2556" w:hanging="284"/>
      </w:pPr>
      <w:rPr>
        <w:rFonts w:hint="default"/>
      </w:rPr>
    </w:lvl>
  </w:abstractNum>
  <w:abstractNum w:abstractNumId="13" w15:restartNumberingAfterBreak="0">
    <w:nsid w:val="39B9360D"/>
    <w:multiLevelType w:val="hybridMultilevel"/>
    <w:tmpl w:val="ACCC8062"/>
    <w:lvl w:ilvl="0" w:tplc="3F842194">
      <w:start w:val="1"/>
      <w:numFmt w:val="decimal"/>
      <w:pStyle w:val="AppendixNumber1"/>
      <w:lvlText w:val="%1)"/>
      <w:lvlJc w:val="left"/>
      <w:pPr>
        <w:tabs>
          <w:tab w:val="num" w:pos="584"/>
        </w:tabs>
        <w:ind w:left="584" w:hanging="584"/>
      </w:pPr>
      <w:rPr>
        <w:rFonts w:ascii="Tahoma" w:hAnsi="Tahoma" w:hint="default"/>
        <w:b/>
        <w:i w:val="0"/>
        <w:color w:val="339966"/>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B866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E1C7F4B"/>
    <w:multiLevelType w:val="hybridMultilevel"/>
    <w:tmpl w:val="20781400"/>
    <w:lvl w:ilvl="0" w:tplc="DA14D334">
      <w:start w:val="1"/>
      <w:numFmt w:val="decimal"/>
      <w:pStyle w:val="Box2Number"/>
      <w:lvlText w:val="%1)"/>
      <w:lvlJc w:val="left"/>
      <w:pPr>
        <w:tabs>
          <w:tab w:val="num" w:pos="369"/>
        </w:tabs>
        <w:ind w:left="369" w:hanging="369"/>
      </w:pPr>
      <w:rPr>
        <w:rFonts w:ascii="Tahoma" w:hAnsi="Tahoma" w:hint="default"/>
        <w:b/>
        <w:i w:val="0"/>
        <w:color w:val="99CC0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048519B"/>
    <w:multiLevelType w:val="hybridMultilevel"/>
    <w:tmpl w:val="D7A094E0"/>
    <w:lvl w:ilvl="0" w:tplc="095C7E9A">
      <w:start w:val="1"/>
      <w:numFmt w:val="bullet"/>
      <w:pStyle w:val="Box3Bullet"/>
      <w:lvlText w:val=""/>
      <w:lvlJc w:val="left"/>
      <w:pPr>
        <w:tabs>
          <w:tab w:val="num" w:pos="369"/>
        </w:tabs>
        <w:ind w:left="369" w:hanging="369"/>
      </w:pPr>
      <w:rPr>
        <w:rFonts w:ascii="Symbol" w:hAnsi="Symbol" w:hint="default"/>
        <w:b w:val="0"/>
        <w:i w:val="0"/>
        <w:color w:val="8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FC4C19"/>
    <w:multiLevelType w:val="hybridMultilevel"/>
    <w:tmpl w:val="6060DA86"/>
    <w:lvl w:ilvl="0" w:tplc="31E20FEE">
      <w:start w:val="1"/>
      <w:numFmt w:val="bullet"/>
      <w:pStyle w:val="ExSumBullet1"/>
      <w:lvlText w:val=""/>
      <w:lvlJc w:val="left"/>
      <w:pPr>
        <w:tabs>
          <w:tab w:val="num" w:pos="-360"/>
        </w:tabs>
        <w:ind w:left="360" w:hanging="360"/>
      </w:pPr>
      <w:rPr>
        <w:rFonts w:ascii="Wingdings" w:hAnsi="Wingdings" w:hint="default"/>
        <w:color w:val="33996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B63E2"/>
    <w:multiLevelType w:val="hybridMultilevel"/>
    <w:tmpl w:val="F68CF9E0"/>
    <w:lvl w:ilvl="0" w:tplc="EDD2558A">
      <w:start w:val="1"/>
      <w:numFmt w:val="bullet"/>
      <w:pStyle w:val="AppendixFirstBullet"/>
      <w:lvlText w:val=""/>
      <w:lvlJc w:val="left"/>
      <w:pPr>
        <w:tabs>
          <w:tab w:val="num" w:pos="584"/>
        </w:tabs>
        <w:ind w:left="584" w:hanging="584"/>
      </w:pPr>
      <w:rPr>
        <w:rFonts w:ascii="Wingdings" w:hAnsi="Wingdings" w:hint="default"/>
        <w:color w:val="3399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20A18"/>
    <w:multiLevelType w:val="multilevel"/>
    <w:tmpl w:val="66E018A2"/>
    <w:lvl w:ilvl="0">
      <w:start w:val="1"/>
      <w:numFmt w:val="decimal"/>
      <w:pStyle w:val="AppendixTitle"/>
      <w:suff w:val="nothing"/>
      <w:lvlText w:val="Appendix %1"/>
      <w:lvlJc w:val="left"/>
      <w:pPr>
        <w:ind w:left="1080" w:hanging="720"/>
      </w:pPr>
      <w:rPr>
        <w:rFonts w:ascii="Tahoma" w:hAnsi="Tahoma" w:hint="default"/>
        <w:b/>
        <w:i w:val="0"/>
        <w:color w:val="339966"/>
        <w:sz w:val="40"/>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4)"/>
      <w:lvlJc w:val="left"/>
      <w:pPr>
        <w:tabs>
          <w:tab w:val="num" w:pos="360"/>
        </w:tabs>
        <w:ind w:left="1800" w:hanging="360"/>
      </w:pPr>
      <w:rPr>
        <w:rFonts w:hint="default"/>
      </w:rPr>
    </w:lvl>
    <w:lvl w:ilvl="4">
      <w:start w:val="1"/>
      <w:numFmt w:val="lowerLetter"/>
      <w:lvlText w:val="(%5)"/>
      <w:lvlJc w:val="left"/>
      <w:pPr>
        <w:tabs>
          <w:tab w:val="num" w:pos="360"/>
        </w:tabs>
        <w:ind w:left="2160" w:hanging="360"/>
      </w:pPr>
      <w:rPr>
        <w:rFonts w:hint="default"/>
      </w:rPr>
    </w:lvl>
    <w:lvl w:ilvl="5">
      <w:start w:val="1"/>
      <w:numFmt w:val="lowerRoman"/>
      <w:lvlText w:val="(%6)"/>
      <w:lvlJc w:val="left"/>
      <w:pPr>
        <w:tabs>
          <w:tab w:val="num" w:pos="360"/>
        </w:tabs>
        <w:ind w:left="2520" w:hanging="360"/>
      </w:pPr>
      <w:rPr>
        <w:rFonts w:hint="default"/>
      </w:rPr>
    </w:lvl>
    <w:lvl w:ilvl="6">
      <w:start w:val="1"/>
      <w:numFmt w:val="decimal"/>
      <w:lvlText w:val="%7."/>
      <w:lvlJc w:val="left"/>
      <w:pPr>
        <w:tabs>
          <w:tab w:val="num" w:pos="360"/>
        </w:tabs>
        <w:ind w:left="2880" w:hanging="360"/>
      </w:pPr>
      <w:rPr>
        <w:rFonts w:hint="default"/>
      </w:rPr>
    </w:lvl>
    <w:lvl w:ilvl="7">
      <w:start w:val="1"/>
      <w:numFmt w:val="lowerLetter"/>
      <w:lvlText w:val="%8."/>
      <w:lvlJc w:val="left"/>
      <w:pPr>
        <w:tabs>
          <w:tab w:val="num" w:pos="360"/>
        </w:tabs>
        <w:ind w:left="3240" w:hanging="360"/>
      </w:pPr>
      <w:rPr>
        <w:rFonts w:hint="default"/>
      </w:rPr>
    </w:lvl>
    <w:lvl w:ilvl="8">
      <w:start w:val="1"/>
      <w:numFmt w:val="lowerRoman"/>
      <w:lvlText w:val="%9."/>
      <w:lvlJc w:val="left"/>
      <w:pPr>
        <w:tabs>
          <w:tab w:val="num" w:pos="360"/>
        </w:tabs>
        <w:ind w:left="3600" w:hanging="360"/>
      </w:pPr>
      <w:rPr>
        <w:rFonts w:hint="default"/>
      </w:rPr>
    </w:lvl>
  </w:abstractNum>
  <w:abstractNum w:abstractNumId="20" w15:restartNumberingAfterBreak="0">
    <w:nsid w:val="512A0B31"/>
    <w:multiLevelType w:val="hybridMultilevel"/>
    <w:tmpl w:val="012430B0"/>
    <w:lvl w:ilvl="0" w:tplc="D5DC0C20">
      <w:start w:val="1"/>
      <w:numFmt w:val="bullet"/>
      <w:lvlText w:val=""/>
      <w:lvlJc w:val="left"/>
      <w:pPr>
        <w:ind w:left="720" w:hanging="360"/>
      </w:pPr>
      <w:rPr>
        <w:rFonts w:ascii="Symbol" w:hAnsi="Symbol" w:hint="default"/>
        <w:color w:val="3399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168B6"/>
    <w:multiLevelType w:val="multilevel"/>
    <w:tmpl w:val="CF22F910"/>
    <w:lvl w:ilvl="0">
      <w:start w:val="1"/>
      <w:numFmt w:val="decimal"/>
      <w:pStyle w:val="TableHeading"/>
      <w:suff w:val="space"/>
      <w:lvlText w:val="Table %1:"/>
      <w:lvlJc w:val="left"/>
      <w:pPr>
        <w:ind w:left="1287" w:hanging="567"/>
      </w:pPr>
      <w:rPr>
        <w:rFonts w:ascii="Tahoma" w:hAnsi="Tahoma" w:hint="default"/>
        <w:b/>
        <w:i w:val="0"/>
        <w:color w:val="auto"/>
        <w:sz w:val="20"/>
        <w:u w:val="single"/>
      </w:rPr>
    </w:lvl>
    <w:lvl w:ilvl="1">
      <w:start w:val="1"/>
      <w:numFmt w:val="lowerLetter"/>
      <w:suff w:val="space"/>
      <w:lvlText w:val="%2."/>
      <w:lvlJc w:val="left"/>
      <w:pPr>
        <w:ind w:left="1854" w:firstLine="0"/>
      </w:pPr>
      <w:rPr>
        <w:rFonts w:hint="default"/>
      </w:rPr>
    </w:lvl>
    <w:lvl w:ilvl="2">
      <w:start w:val="1"/>
      <w:numFmt w:val="lowerRoman"/>
      <w:suff w:val="space"/>
      <w:lvlText w:val="%3."/>
      <w:lvlJc w:val="left"/>
      <w:pPr>
        <w:ind w:left="2421" w:firstLine="0"/>
      </w:pPr>
      <w:rPr>
        <w:rFonts w:hint="default"/>
      </w:rPr>
    </w:lvl>
    <w:lvl w:ilvl="3">
      <w:start w:val="1"/>
      <w:numFmt w:val="decimal"/>
      <w:lvlText w:val="%1.%2.%3.%4."/>
      <w:lvlJc w:val="left"/>
      <w:pPr>
        <w:tabs>
          <w:tab w:val="num" w:pos="2520"/>
        </w:tabs>
        <w:ind w:left="2517" w:hanging="572"/>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2" w15:restartNumberingAfterBreak="0">
    <w:nsid w:val="53703020"/>
    <w:multiLevelType w:val="hybridMultilevel"/>
    <w:tmpl w:val="11646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510C8F"/>
    <w:multiLevelType w:val="hybridMultilevel"/>
    <w:tmpl w:val="9632A426"/>
    <w:lvl w:ilvl="0" w:tplc="2A3802D8">
      <w:start w:val="1"/>
      <w:numFmt w:val="bullet"/>
      <w:pStyle w:val="Box2Bullet"/>
      <w:lvlText w:val=""/>
      <w:lvlJc w:val="left"/>
      <w:pPr>
        <w:tabs>
          <w:tab w:val="num" w:pos="369"/>
        </w:tabs>
        <w:ind w:left="369" w:hanging="369"/>
      </w:pPr>
      <w:rPr>
        <w:rFonts w:ascii="Symbol" w:hAnsi="Symbol" w:hint="default"/>
        <w:b w:val="0"/>
        <w:i w:val="0"/>
        <w:color w:val="99CC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F71FC"/>
    <w:multiLevelType w:val="hybridMultilevel"/>
    <w:tmpl w:val="5BE499D8"/>
    <w:lvl w:ilvl="0" w:tplc="0809000F">
      <w:start w:val="1"/>
      <w:numFmt w:val="decimal"/>
      <w:lvlText w:val="%1."/>
      <w:lvlJc w:val="left"/>
      <w:pPr>
        <w:tabs>
          <w:tab w:val="num" w:pos="1304"/>
        </w:tabs>
        <w:ind w:left="1304" w:hanging="584"/>
      </w:pPr>
      <w:rPr>
        <w:rFonts w:hint="default"/>
        <w:color w:val="339966"/>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1219C"/>
    <w:multiLevelType w:val="hybridMultilevel"/>
    <w:tmpl w:val="4A2852B2"/>
    <w:lvl w:ilvl="0" w:tplc="61A42570">
      <w:start w:val="1"/>
      <w:numFmt w:val="bullet"/>
      <w:pStyle w:val="ListBullet"/>
      <w:lvlText w:val=""/>
      <w:lvlJc w:val="left"/>
      <w:pPr>
        <w:tabs>
          <w:tab w:val="num" w:pos="1304"/>
        </w:tabs>
        <w:ind w:left="1304" w:hanging="584"/>
      </w:pPr>
      <w:rPr>
        <w:rFonts w:ascii="Wingdings" w:hAnsi="Wingdings" w:hint="default"/>
        <w:color w:val="339966"/>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87577E"/>
    <w:multiLevelType w:val="multilevel"/>
    <w:tmpl w:val="26364820"/>
    <w:lvl w:ilvl="0">
      <w:start w:val="1"/>
      <w:numFmt w:val="decimal"/>
      <w:pStyle w:val="TableListNumber"/>
      <w:lvlText w:val="%1)"/>
      <w:lvlJc w:val="left"/>
      <w:pPr>
        <w:tabs>
          <w:tab w:val="num" w:pos="369"/>
        </w:tabs>
        <w:ind w:left="369" w:hanging="369"/>
      </w:pPr>
      <w:rPr>
        <w:rFonts w:ascii="Tahoma" w:hAnsi="Tahoma" w:hint="default"/>
        <w:b/>
        <w:i w:val="0"/>
        <w:color w:val="339966"/>
        <w:sz w:val="20"/>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7" w15:restartNumberingAfterBreak="0">
    <w:nsid w:val="5DF65EA0"/>
    <w:multiLevelType w:val="hybridMultilevel"/>
    <w:tmpl w:val="134CD0D6"/>
    <w:lvl w:ilvl="0" w:tplc="F768E3EA">
      <w:start w:val="1"/>
      <w:numFmt w:val="bullet"/>
      <w:pStyle w:val="AppendixBullet1"/>
      <w:lvlText w:val=""/>
      <w:lvlJc w:val="left"/>
      <w:pPr>
        <w:tabs>
          <w:tab w:val="num" w:pos="584"/>
        </w:tabs>
        <w:ind w:left="584" w:hanging="584"/>
      </w:pPr>
      <w:rPr>
        <w:rFonts w:ascii="Wingdings" w:hAnsi="Wingdings" w:hint="default"/>
        <w:color w:val="3399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B60BBA"/>
    <w:multiLevelType w:val="hybridMultilevel"/>
    <w:tmpl w:val="0E202EFE"/>
    <w:lvl w:ilvl="0" w:tplc="09C63B2A">
      <w:start w:val="1"/>
      <w:numFmt w:val="decimal"/>
      <w:pStyle w:val="ExSumNumber1"/>
      <w:lvlText w:val="%1)"/>
      <w:lvlJc w:val="left"/>
      <w:pPr>
        <w:tabs>
          <w:tab w:val="num" w:pos="-360"/>
        </w:tabs>
        <w:ind w:left="360" w:hanging="360"/>
      </w:pPr>
      <w:rPr>
        <w:rFonts w:ascii="Tahoma" w:hAnsi="Tahoma" w:hint="default"/>
        <w:b/>
        <w:i w:val="0"/>
        <w:color w:val="339966"/>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0177DF"/>
    <w:multiLevelType w:val="hybridMultilevel"/>
    <w:tmpl w:val="DAA20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3A7135"/>
    <w:multiLevelType w:val="hybridMultilevel"/>
    <w:tmpl w:val="27FA24AA"/>
    <w:lvl w:ilvl="0" w:tplc="E4680416">
      <w:start w:val="1"/>
      <w:numFmt w:val="bullet"/>
      <w:pStyle w:val="TableListBullet"/>
      <w:lvlText w:val=""/>
      <w:lvlJc w:val="left"/>
      <w:pPr>
        <w:tabs>
          <w:tab w:val="num" w:pos="369"/>
        </w:tabs>
        <w:ind w:left="369" w:hanging="369"/>
      </w:pPr>
      <w:rPr>
        <w:rFonts w:ascii="Symbol" w:hAnsi="Symbol" w:hint="default"/>
        <w:b/>
        <w:i w:val="0"/>
        <w:color w:val="3399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B747E9"/>
    <w:multiLevelType w:val="hybridMultilevel"/>
    <w:tmpl w:val="04189032"/>
    <w:lvl w:ilvl="0" w:tplc="3F0ABAB2">
      <w:start w:val="1"/>
      <w:numFmt w:val="decimal"/>
      <w:pStyle w:val="Box3Number"/>
      <w:lvlText w:val="%1)"/>
      <w:lvlJc w:val="left"/>
      <w:pPr>
        <w:tabs>
          <w:tab w:val="num" w:pos="369"/>
        </w:tabs>
        <w:ind w:left="369" w:hanging="369"/>
      </w:pPr>
      <w:rPr>
        <w:rFonts w:ascii="Tahoma" w:hAnsi="Tahoma" w:hint="default"/>
        <w:b/>
        <w:i w:val="0"/>
        <w:color w:val="80808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C470536"/>
    <w:multiLevelType w:val="hybridMultilevel"/>
    <w:tmpl w:val="3230A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8"/>
  </w:num>
  <w:num w:numId="4">
    <w:abstractNumId w:val="17"/>
  </w:num>
  <w:num w:numId="5">
    <w:abstractNumId w:val="28"/>
  </w:num>
  <w:num w:numId="6">
    <w:abstractNumId w:val="7"/>
  </w:num>
  <w:num w:numId="7">
    <w:abstractNumId w:val="21"/>
  </w:num>
  <w:num w:numId="8">
    <w:abstractNumId w:val="2"/>
  </w:num>
  <w:num w:numId="9">
    <w:abstractNumId w:val="12"/>
  </w:num>
  <w:num w:numId="10">
    <w:abstractNumId w:val="3"/>
  </w:num>
  <w:num w:numId="11">
    <w:abstractNumId w:val="19"/>
  </w:num>
  <w:num w:numId="12">
    <w:abstractNumId w:val="27"/>
  </w:num>
  <w:num w:numId="13">
    <w:abstractNumId w:val="13"/>
  </w:num>
  <w:num w:numId="14">
    <w:abstractNumId w:val="18"/>
  </w:num>
  <w:num w:numId="15">
    <w:abstractNumId w:val="9"/>
  </w:num>
  <w:num w:numId="16">
    <w:abstractNumId w:val="11"/>
  </w:num>
  <w:num w:numId="17">
    <w:abstractNumId w:val="25"/>
  </w:num>
  <w:num w:numId="18">
    <w:abstractNumId w:val="6"/>
  </w:num>
  <w:num w:numId="19">
    <w:abstractNumId w:val="10"/>
  </w:num>
  <w:num w:numId="20">
    <w:abstractNumId w:val="23"/>
  </w:num>
  <w:num w:numId="21">
    <w:abstractNumId w:val="15"/>
  </w:num>
  <w:num w:numId="22">
    <w:abstractNumId w:val="16"/>
  </w:num>
  <w:num w:numId="23">
    <w:abstractNumId w:val="31"/>
  </w:num>
  <w:num w:numId="24">
    <w:abstractNumId w:val="14"/>
  </w:num>
  <w:num w:numId="25">
    <w:abstractNumId w:val="5"/>
  </w:num>
  <w:num w:numId="26">
    <w:abstractNumId w:val="29"/>
  </w:num>
  <w:num w:numId="27">
    <w:abstractNumId w:val="1"/>
  </w:num>
  <w:num w:numId="28">
    <w:abstractNumId w:val="22"/>
  </w:num>
  <w:num w:numId="29">
    <w:abstractNumId w:val="24"/>
  </w:num>
  <w:num w:numId="30">
    <w:abstractNumId w:val="9"/>
    <w:lvlOverride w:ilvl="0"/>
    <w:lvlOverride w:ilvl="1">
      <w:startOverride w:val="1"/>
    </w:lvlOverride>
    <w:lvlOverride w:ilvl="2"/>
    <w:lvlOverride w:ilvl="3"/>
    <w:lvlOverride w:ilvl="4"/>
    <w:lvlOverride w:ilvl="5"/>
    <w:lvlOverride w:ilvl="6"/>
    <w:lvlOverride w:ilvl="7"/>
    <w:lvlOverride w:ilvl="8"/>
  </w:num>
  <w:num w:numId="31">
    <w:abstractNumId w:val="32"/>
  </w:num>
  <w:num w:numId="32">
    <w:abstractNumId w:val="20"/>
  </w:num>
  <w:num w:numId="3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47"/>
    <w:rsid w:val="00000E7F"/>
    <w:rsid w:val="00001FF4"/>
    <w:rsid w:val="000134EE"/>
    <w:rsid w:val="00013959"/>
    <w:rsid w:val="0001422A"/>
    <w:rsid w:val="0002049D"/>
    <w:rsid w:val="000204EF"/>
    <w:rsid w:val="00021CBF"/>
    <w:rsid w:val="0002649D"/>
    <w:rsid w:val="00031B9C"/>
    <w:rsid w:val="000342B8"/>
    <w:rsid w:val="00041858"/>
    <w:rsid w:val="00047C78"/>
    <w:rsid w:val="0005488A"/>
    <w:rsid w:val="000562CB"/>
    <w:rsid w:val="00060577"/>
    <w:rsid w:val="000624CA"/>
    <w:rsid w:val="000625A2"/>
    <w:rsid w:val="000664A3"/>
    <w:rsid w:val="00072E8C"/>
    <w:rsid w:val="000811DC"/>
    <w:rsid w:val="00087D8D"/>
    <w:rsid w:val="00094531"/>
    <w:rsid w:val="000954D5"/>
    <w:rsid w:val="000A3EFD"/>
    <w:rsid w:val="000A79F2"/>
    <w:rsid w:val="000B6991"/>
    <w:rsid w:val="000B7990"/>
    <w:rsid w:val="000C2141"/>
    <w:rsid w:val="000C472F"/>
    <w:rsid w:val="000D0991"/>
    <w:rsid w:val="000D1DB2"/>
    <w:rsid w:val="000D3BFF"/>
    <w:rsid w:val="000D6CB9"/>
    <w:rsid w:val="000E0388"/>
    <w:rsid w:val="000E29D5"/>
    <w:rsid w:val="000E2F3E"/>
    <w:rsid w:val="000F23D9"/>
    <w:rsid w:val="001050A6"/>
    <w:rsid w:val="0010676B"/>
    <w:rsid w:val="00106844"/>
    <w:rsid w:val="00117B5B"/>
    <w:rsid w:val="001249E6"/>
    <w:rsid w:val="00133231"/>
    <w:rsid w:val="00133C0D"/>
    <w:rsid w:val="001356F4"/>
    <w:rsid w:val="00137FE1"/>
    <w:rsid w:val="00140CDD"/>
    <w:rsid w:val="0014638F"/>
    <w:rsid w:val="00155A4C"/>
    <w:rsid w:val="00157465"/>
    <w:rsid w:val="00163FED"/>
    <w:rsid w:val="00173017"/>
    <w:rsid w:val="0017709F"/>
    <w:rsid w:val="0018361A"/>
    <w:rsid w:val="00184D5A"/>
    <w:rsid w:val="001850C9"/>
    <w:rsid w:val="00191290"/>
    <w:rsid w:val="00192BC9"/>
    <w:rsid w:val="001A0BE2"/>
    <w:rsid w:val="001A32E2"/>
    <w:rsid w:val="001A613C"/>
    <w:rsid w:val="001B0BCC"/>
    <w:rsid w:val="001B664B"/>
    <w:rsid w:val="001C3ABE"/>
    <w:rsid w:val="001C7024"/>
    <w:rsid w:val="001D36AE"/>
    <w:rsid w:val="001D49A0"/>
    <w:rsid w:val="001F0CD7"/>
    <w:rsid w:val="001F3B71"/>
    <w:rsid w:val="001F3BC8"/>
    <w:rsid w:val="001F3F55"/>
    <w:rsid w:val="00207025"/>
    <w:rsid w:val="00207CA1"/>
    <w:rsid w:val="00210BC3"/>
    <w:rsid w:val="00221125"/>
    <w:rsid w:val="0022415E"/>
    <w:rsid w:val="00226FD7"/>
    <w:rsid w:val="002304A7"/>
    <w:rsid w:val="00232082"/>
    <w:rsid w:val="0024145B"/>
    <w:rsid w:val="002421A5"/>
    <w:rsid w:val="00253E10"/>
    <w:rsid w:val="00260504"/>
    <w:rsid w:val="0028029C"/>
    <w:rsid w:val="00291159"/>
    <w:rsid w:val="00295225"/>
    <w:rsid w:val="00296DBD"/>
    <w:rsid w:val="002A26A2"/>
    <w:rsid w:val="002A6365"/>
    <w:rsid w:val="002A6D8E"/>
    <w:rsid w:val="002A7A6C"/>
    <w:rsid w:val="002B1BE8"/>
    <w:rsid w:val="002B2EBE"/>
    <w:rsid w:val="002B354B"/>
    <w:rsid w:val="002B6337"/>
    <w:rsid w:val="002C3808"/>
    <w:rsid w:val="002C7030"/>
    <w:rsid w:val="002D2519"/>
    <w:rsid w:val="002D7728"/>
    <w:rsid w:val="002E3460"/>
    <w:rsid w:val="002E3470"/>
    <w:rsid w:val="002F6196"/>
    <w:rsid w:val="00301427"/>
    <w:rsid w:val="00305023"/>
    <w:rsid w:val="00310652"/>
    <w:rsid w:val="003208F0"/>
    <w:rsid w:val="00327341"/>
    <w:rsid w:val="00327944"/>
    <w:rsid w:val="00342442"/>
    <w:rsid w:val="00350C13"/>
    <w:rsid w:val="00352322"/>
    <w:rsid w:val="003576EE"/>
    <w:rsid w:val="00364021"/>
    <w:rsid w:val="003715B5"/>
    <w:rsid w:val="0037733F"/>
    <w:rsid w:val="00381A7D"/>
    <w:rsid w:val="00384F33"/>
    <w:rsid w:val="00387F64"/>
    <w:rsid w:val="00392895"/>
    <w:rsid w:val="00394688"/>
    <w:rsid w:val="003A5703"/>
    <w:rsid w:val="003B31B7"/>
    <w:rsid w:val="003B37DC"/>
    <w:rsid w:val="003C648A"/>
    <w:rsid w:val="003D06DA"/>
    <w:rsid w:val="003D4D2F"/>
    <w:rsid w:val="003E397F"/>
    <w:rsid w:val="003E6309"/>
    <w:rsid w:val="003E6F9D"/>
    <w:rsid w:val="003F5730"/>
    <w:rsid w:val="003F5B76"/>
    <w:rsid w:val="003F78E6"/>
    <w:rsid w:val="00400327"/>
    <w:rsid w:val="004014C6"/>
    <w:rsid w:val="00405413"/>
    <w:rsid w:val="0040664F"/>
    <w:rsid w:val="00414BB6"/>
    <w:rsid w:val="00421C47"/>
    <w:rsid w:val="00426134"/>
    <w:rsid w:val="004272C8"/>
    <w:rsid w:val="0043757E"/>
    <w:rsid w:val="00445C85"/>
    <w:rsid w:val="00451479"/>
    <w:rsid w:val="00454D92"/>
    <w:rsid w:val="0045534A"/>
    <w:rsid w:val="004601DF"/>
    <w:rsid w:val="004745FA"/>
    <w:rsid w:val="00482423"/>
    <w:rsid w:val="004828D1"/>
    <w:rsid w:val="0048525D"/>
    <w:rsid w:val="00486A9F"/>
    <w:rsid w:val="00494595"/>
    <w:rsid w:val="00495F5F"/>
    <w:rsid w:val="00495FE1"/>
    <w:rsid w:val="004A62B4"/>
    <w:rsid w:val="004B123F"/>
    <w:rsid w:val="004B5792"/>
    <w:rsid w:val="004B74D6"/>
    <w:rsid w:val="004C4095"/>
    <w:rsid w:val="004D2B9E"/>
    <w:rsid w:val="004D6A50"/>
    <w:rsid w:val="004F3C3A"/>
    <w:rsid w:val="005069D0"/>
    <w:rsid w:val="005075ED"/>
    <w:rsid w:val="00511114"/>
    <w:rsid w:val="00516816"/>
    <w:rsid w:val="00517366"/>
    <w:rsid w:val="005234C3"/>
    <w:rsid w:val="00524F44"/>
    <w:rsid w:val="005304D0"/>
    <w:rsid w:val="00533279"/>
    <w:rsid w:val="00536C30"/>
    <w:rsid w:val="005404E1"/>
    <w:rsid w:val="00540DEB"/>
    <w:rsid w:val="00541027"/>
    <w:rsid w:val="0054166B"/>
    <w:rsid w:val="005424EE"/>
    <w:rsid w:val="00543D60"/>
    <w:rsid w:val="00543FE8"/>
    <w:rsid w:val="0055039F"/>
    <w:rsid w:val="0056618D"/>
    <w:rsid w:val="00590C4A"/>
    <w:rsid w:val="005912E9"/>
    <w:rsid w:val="005921B0"/>
    <w:rsid w:val="005A0B7B"/>
    <w:rsid w:val="005A1CE0"/>
    <w:rsid w:val="005A413E"/>
    <w:rsid w:val="005A58F4"/>
    <w:rsid w:val="005B1263"/>
    <w:rsid w:val="005B4B69"/>
    <w:rsid w:val="005B7F63"/>
    <w:rsid w:val="005C01E4"/>
    <w:rsid w:val="005C0683"/>
    <w:rsid w:val="005C6583"/>
    <w:rsid w:val="005D2FDA"/>
    <w:rsid w:val="005E01C6"/>
    <w:rsid w:val="005E4FDD"/>
    <w:rsid w:val="005E5E00"/>
    <w:rsid w:val="005F7018"/>
    <w:rsid w:val="006037A1"/>
    <w:rsid w:val="00603E3C"/>
    <w:rsid w:val="00604196"/>
    <w:rsid w:val="00606388"/>
    <w:rsid w:val="00606C3A"/>
    <w:rsid w:val="0061317F"/>
    <w:rsid w:val="00614F11"/>
    <w:rsid w:val="00631D1E"/>
    <w:rsid w:val="00650ED9"/>
    <w:rsid w:val="00655245"/>
    <w:rsid w:val="00660014"/>
    <w:rsid w:val="006654AE"/>
    <w:rsid w:val="00674265"/>
    <w:rsid w:val="006813E5"/>
    <w:rsid w:val="00684FE5"/>
    <w:rsid w:val="00695044"/>
    <w:rsid w:val="006A622A"/>
    <w:rsid w:val="006B2F9B"/>
    <w:rsid w:val="006B55B1"/>
    <w:rsid w:val="006B7B06"/>
    <w:rsid w:val="006C78F7"/>
    <w:rsid w:val="006D0EED"/>
    <w:rsid w:val="006E65B3"/>
    <w:rsid w:val="006E6E18"/>
    <w:rsid w:val="0070484C"/>
    <w:rsid w:val="00710268"/>
    <w:rsid w:val="00717D42"/>
    <w:rsid w:val="00733240"/>
    <w:rsid w:val="0073349E"/>
    <w:rsid w:val="00740896"/>
    <w:rsid w:val="007413C7"/>
    <w:rsid w:val="0074243C"/>
    <w:rsid w:val="00742782"/>
    <w:rsid w:val="00752AA3"/>
    <w:rsid w:val="00755A87"/>
    <w:rsid w:val="007619C2"/>
    <w:rsid w:val="00765AE2"/>
    <w:rsid w:val="00772096"/>
    <w:rsid w:val="007724C3"/>
    <w:rsid w:val="00780E85"/>
    <w:rsid w:val="007820FF"/>
    <w:rsid w:val="007844F3"/>
    <w:rsid w:val="00793973"/>
    <w:rsid w:val="007975EF"/>
    <w:rsid w:val="007C2ED5"/>
    <w:rsid w:val="007C6259"/>
    <w:rsid w:val="007D774C"/>
    <w:rsid w:val="007D79AB"/>
    <w:rsid w:val="007E12CE"/>
    <w:rsid w:val="007E40EF"/>
    <w:rsid w:val="007E7CE1"/>
    <w:rsid w:val="007F26DE"/>
    <w:rsid w:val="007F5B7B"/>
    <w:rsid w:val="00801970"/>
    <w:rsid w:val="008022D2"/>
    <w:rsid w:val="008054BE"/>
    <w:rsid w:val="00810075"/>
    <w:rsid w:val="0081142B"/>
    <w:rsid w:val="00811917"/>
    <w:rsid w:val="00811D99"/>
    <w:rsid w:val="00812F44"/>
    <w:rsid w:val="008157BF"/>
    <w:rsid w:val="00821CA8"/>
    <w:rsid w:val="008225E7"/>
    <w:rsid w:val="00822AA2"/>
    <w:rsid w:val="00822AC1"/>
    <w:rsid w:val="00835040"/>
    <w:rsid w:val="00860085"/>
    <w:rsid w:val="00862A05"/>
    <w:rsid w:val="00862ABE"/>
    <w:rsid w:val="00865062"/>
    <w:rsid w:val="0088042D"/>
    <w:rsid w:val="00881021"/>
    <w:rsid w:val="00890E9C"/>
    <w:rsid w:val="00895239"/>
    <w:rsid w:val="00896619"/>
    <w:rsid w:val="008A2AE9"/>
    <w:rsid w:val="008A2F42"/>
    <w:rsid w:val="008A430A"/>
    <w:rsid w:val="008A5DE0"/>
    <w:rsid w:val="008B294D"/>
    <w:rsid w:val="008B34C9"/>
    <w:rsid w:val="008B5F85"/>
    <w:rsid w:val="008C2A8B"/>
    <w:rsid w:val="008D26F3"/>
    <w:rsid w:val="008E038B"/>
    <w:rsid w:val="008F404E"/>
    <w:rsid w:val="008F6C19"/>
    <w:rsid w:val="00907D75"/>
    <w:rsid w:val="0091083C"/>
    <w:rsid w:val="00920E3E"/>
    <w:rsid w:val="009219D8"/>
    <w:rsid w:val="00922B8E"/>
    <w:rsid w:val="00931325"/>
    <w:rsid w:val="009320A3"/>
    <w:rsid w:val="009401B1"/>
    <w:rsid w:val="00941A5C"/>
    <w:rsid w:val="009529A7"/>
    <w:rsid w:val="009609A9"/>
    <w:rsid w:val="009668C5"/>
    <w:rsid w:val="00966EE3"/>
    <w:rsid w:val="00967F22"/>
    <w:rsid w:val="00971A02"/>
    <w:rsid w:val="009724B0"/>
    <w:rsid w:val="00975EE7"/>
    <w:rsid w:val="009833DF"/>
    <w:rsid w:val="00985552"/>
    <w:rsid w:val="00987D5F"/>
    <w:rsid w:val="00990676"/>
    <w:rsid w:val="00991D40"/>
    <w:rsid w:val="00994926"/>
    <w:rsid w:val="009A5B44"/>
    <w:rsid w:val="009C0E9D"/>
    <w:rsid w:val="009D0FD3"/>
    <w:rsid w:val="009D7C09"/>
    <w:rsid w:val="009E3768"/>
    <w:rsid w:val="009F070B"/>
    <w:rsid w:val="009F1EFB"/>
    <w:rsid w:val="009F5295"/>
    <w:rsid w:val="00A1720B"/>
    <w:rsid w:val="00A17B79"/>
    <w:rsid w:val="00A22099"/>
    <w:rsid w:val="00A23184"/>
    <w:rsid w:val="00A263AA"/>
    <w:rsid w:val="00A27F22"/>
    <w:rsid w:val="00A3049B"/>
    <w:rsid w:val="00A32F30"/>
    <w:rsid w:val="00A35285"/>
    <w:rsid w:val="00A4004D"/>
    <w:rsid w:val="00A4138F"/>
    <w:rsid w:val="00A430F6"/>
    <w:rsid w:val="00A43C92"/>
    <w:rsid w:val="00A43DC4"/>
    <w:rsid w:val="00A45624"/>
    <w:rsid w:val="00A473A0"/>
    <w:rsid w:val="00A54164"/>
    <w:rsid w:val="00A552D9"/>
    <w:rsid w:val="00A621DF"/>
    <w:rsid w:val="00A63EF0"/>
    <w:rsid w:val="00A76F9B"/>
    <w:rsid w:val="00A77812"/>
    <w:rsid w:val="00A81702"/>
    <w:rsid w:val="00A92FA6"/>
    <w:rsid w:val="00A93BC3"/>
    <w:rsid w:val="00A97AA5"/>
    <w:rsid w:val="00A97D7A"/>
    <w:rsid w:val="00AA0E8F"/>
    <w:rsid w:val="00AA1831"/>
    <w:rsid w:val="00AA5816"/>
    <w:rsid w:val="00AB3964"/>
    <w:rsid w:val="00AC4A05"/>
    <w:rsid w:val="00AD2F72"/>
    <w:rsid w:val="00AD4361"/>
    <w:rsid w:val="00AE4B3D"/>
    <w:rsid w:val="00AE51D0"/>
    <w:rsid w:val="00AE752E"/>
    <w:rsid w:val="00AE7B5D"/>
    <w:rsid w:val="00AF2F1A"/>
    <w:rsid w:val="00AF3FF6"/>
    <w:rsid w:val="00AF6B66"/>
    <w:rsid w:val="00B02738"/>
    <w:rsid w:val="00B03407"/>
    <w:rsid w:val="00B07522"/>
    <w:rsid w:val="00B15015"/>
    <w:rsid w:val="00B21056"/>
    <w:rsid w:val="00B24F6B"/>
    <w:rsid w:val="00B32F7F"/>
    <w:rsid w:val="00B343FD"/>
    <w:rsid w:val="00B35A43"/>
    <w:rsid w:val="00B36F67"/>
    <w:rsid w:val="00B416FB"/>
    <w:rsid w:val="00B43E39"/>
    <w:rsid w:val="00B573DA"/>
    <w:rsid w:val="00B725AE"/>
    <w:rsid w:val="00B73BF8"/>
    <w:rsid w:val="00B74A42"/>
    <w:rsid w:val="00B81F1D"/>
    <w:rsid w:val="00B82FE6"/>
    <w:rsid w:val="00B91EDC"/>
    <w:rsid w:val="00B92934"/>
    <w:rsid w:val="00BB00BC"/>
    <w:rsid w:val="00BB01A9"/>
    <w:rsid w:val="00BB18C3"/>
    <w:rsid w:val="00BB4D21"/>
    <w:rsid w:val="00BB6DF9"/>
    <w:rsid w:val="00BC28F5"/>
    <w:rsid w:val="00BC37DB"/>
    <w:rsid w:val="00BC58AA"/>
    <w:rsid w:val="00BD1618"/>
    <w:rsid w:val="00BD3901"/>
    <w:rsid w:val="00BD3DC3"/>
    <w:rsid w:val="00BD4A7E"/>
    <w:rsid w:val="00BD55B9"/>
    <w:rsid w:val="00BD73F7"/>
    <w:rsid w:val="00BE010C"/>
    <w:rsid w:val="00BE6166"/>
    <w:rsid w:val="00BF0C3C"/>
    <w:rsid w:val="00BF56C0"/>
    <w:rsid w:val="00C03503"/>
    <w:rsid w:val="00C26D77"/>
    <w:rsid w:val="00C27A67"/>
    <w:rsid w:val="00C30ACC"/>
    <w:rsid w:val="00C34342"/>
    <w:rsid w:val="00C35E72"/>
    <w:rsid w:val="00C36124"/>
    <w:rsid w:val="00C41230"/>
    <w:rsid w:val="00C41384"/>
    <w:rsid w:val="00C42FD0"/>
    <w:rsid w:val="00C621EF"/>
    <w:rsid w:val="00C638FB"/>
    <w:rsid w:val="00C639AB"/>
    <w:rsid w:val="00C67BB8"/>
    <w:rsid w:val="00C726D0"/>
    <w:rsid w:val="00C738D1"/>
    <w:rsid w:val="00C80BC0"/>
    <w:rsid w:val="00C825BE"/>
    <w:rsid w:val="00C84493"/>
    <w:rsid w:val="00C94CAA"/>
    <w:rsid w:val="00C957F1"/>
    <w:rsid w:val="00CA3F2F"/>
    <w:rsid w:val="00CA70F9"/>
    <w:rsid w:val="00CA7AA7"/>
    <w:rsid w:val="00CB1F1C"/>
    <w:rsid w:val="00CB291F"/>
    <w:rsid w:val="00CC5053"/>
    <w:rsid w:val="00CD2BF7"/>
    <w:rsid w:val="00CD430F"/>
    <w:rsid w:val="00CE0F57"/>
    <w:rsid w:val="00CE3830"/>
    <w:rsid w:val="00CE68D2"/>
    <w:rsid w:val="00CF4863"/>
    <w:rsid w:val="00CF5346"/>
    <w:rsid w:val="00CF6B93"/>
    <w:rsid w:val="00D07910"/>
    <w:rsid w:val="00D201ED"/>
    <w:rsid w:val="00D26D32"/>
    <w:rsid w:val="00D461F4"/>
    <w:rsid w:val="00D522AF"/>
    <w:rsid w:val="00D54B88"/>
    <w:rsid w:val="00D564FF"/>
    <w:rsid w:val="00D607A5"/>
    <w:rsid w:val="00D63538"/>
    <w:rsid w:val="00D6763F"/>
    <w:rsid w:val="00D72A17"/>
    <w:rsid w:val="00D73810"/>
    <w:rsid w:val="00D73922"/>
    <w:rsid w:val="00D741ED"/>
    <w:rsid w:val="00D7635B"/>
    <w:rsid w:val="00D7681B"/>
    <w:rsid w:val="00D9076A"/>
    <w:rsid w:val="00D92E55"/>
    <w:rsid w:val="00D96AC1"/>
    <w:rsid w:val="00D97B0E"/>
    <w:rsid w:val="00DA00FD"/>
    <w:rsid w:val="00DA1611"/>
    <w:rsid w:val="00DA4C8D"/>
    <w:rsid w:val="00DB04D3"/>
    <w:rsid w:val="00DB3284"/>
    <w:rsid w:val="00DB7F59"/>
    <w:rsid w:val="00DD073D"/>
    <w:rsid w:val="00DD113E"/>
    <w:rsid w:val="00DD2976"/>
    <w:rsid w:val="00DD6F5F"/>
    <w:rsid w:val="00DF40FB"/>
    <w:rsid w:val="00E04CA8"/>
    <w:rsid w:val="00E242BD"/>
    <w:rsid w:val="00E265B1"/>
    <w:rsid w:val="00E302A5"/>
    <w:rsid w:val="00E32767"/>
    <w:rsid w:val="00E32FCC"/>
    <w:rsid w:val="00E52488"/>
    <w:rsid w:val="00E559F5"/>
    <w:rsid w:val="00E57380"/>
    <w:rsid w:val="00E62942"/>
    <w:rsid w:val="00E64CC0"/>
    <w:rsid w:val="00E716D9"/>
    <w:rsid w:val="00E8040A"/>
    <w:rsid w:val="00E92178"/>
    <w:rsid w:val="00E95911"/>
    <w:rsid w:val="00E96675"/>
    <w:rsid w:val="00EA756A"/>
    <w:rsid w:val="00EB3FF7"/>
    <w:rsid w:val="00EB5B74"/>
    <w:rsid w:val="00EC1B94"/>
    <w:rsid w:val="00ED1FD6"/>
    <w:rsid w:val="00ED4AC6"/>
    <w:rsid w:val="00ED656A"/>
    <w:rsid w:val="00EE04A8"/>
    <w:rsid w:val="00EE3B00"/>
    <w:rsid w:val="00EE3F63"/>
    <w:rsid w:val="00EE72AC"/>
    <w:rsid w:val="00EF0E8A"/>
    <w:rsid w:val="00EF15A9"/>
    <w:rsid w:val="00EF28B6"/>
    <w:rsid w:val="00F03485"/>
    <w:rsid w:val="00F05593"/>
    <w:rsid w:val="00F05B9A"/>
    <w:rsid w:val="00F05E89"/>
    <w:rsid w:val="00F10461"/>
    <w:rsid w:val="00F106BC"/>
    <w:rsid w:val="00F11710"/>
    <w:rsid w:val="00F16BDE"/>
    <w:rsid w:val="00F308C5"/>
    <w:rsid w:val="00F32033"/>
    <w:rsid w:val="00F323F3"/>
    <w:rsid w:val="00F32C19"/>
    <w:rsid w:val="00F32C78"/>
    <w:rsid w:val="00F35B03"/>
    <w:rsid w:val="00F40C9E"/>
    <w:rsid w:val="00F40CC9"/>
    <w:rsid w:val="00F508FA"/>
    <w:rsid w:val="00F51DD1"/>
    <w:rsid w:val="00F63117"/>
    <w:rsid w:val="00F74E5A"/>
    <w:rsid w:val="00F759EB"/>
    <w:rsid w:val="00F7607F"/>
    <w:rsid w:val="00F77899"/>
    <w:rsid w:val="00F77C6D"/>
    <w:rsid w:val="00F77EF4"/>
    <w:rsid w:val="00F81783"/>
    <w:rsid w:val="00F818F7"/>
    <w:rsid w:val="00F82362"/>
    <w:rsid w:val="00F86371"/>
    <w:rsid w:val="00F95B6C"/>
    <w:rsid w:val="00FA6A18"/>
    <w:rsid w:val="00FA75D1"/>
    <w:rsid w:val="00FB0BC4"/>
    <w:rsid w:val="00FB7946"/>
    <w:rsid w:val="00FC0FE0"/>
    <w:rsid w:val="00FC1CC1"/>
    <w:rsid w:val="00FC2168"/>
    <w:rsid w:val="00FD4BFE"/>
    <w:rsid w:val="00FD7FDD"/>
    <w:rsid w:val="00FE0C1B"/>
    <w:rsid w:val="00FE1442"/>
    <w:rsid w:val="00FE21D0"/>
    <w:rsid w:val="00FE2438"/>
    <w:rsid w:val="00FE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896893-FB9C-45BD-9303-4C77DAB1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AC1"/>
    <w:pPr>
      <w:jc w:val="both"/>
    </w:pPr>
    <w:rPr>
      <w:rFonts w:ascii="Tahoma" w:hAnsi="Tahoma"/>
      <w:szCs w:val="22"/>
      <w:lang w:eastAsia="en-US"/>
    </w:rPr>
  </w:style>
  <w:style w:type="paragraph" w:styleId="Heading1">
    <w:name w:val="heading 1"/>
    <w:basedOn w:val="Normal"/>
    <w:next w:val="BodyText"/>
    <w:link w:val="Heading1Char"/>
    <w:uiPriority w:val="9"/>
    <w:qFormat/>
    <w:rsid w:val="002C3808"/>
    <w:pPr>
      <w:keepNext/>
      <w:keepLines/>
      <w:pageBreakBefore/>
      <w:numPr>
        <w:numId w:val="8"/>
      </w:numPr>
      <w:spacing w:after="200"/>
      <w:outlineLvl w:val="0"/>
    </w:pPr>
    <w:rPr>
      <w:b/>
      <w:bCs/>
      <w:caps/>
      <w:color w:val="339966"/>
      <w:sz w:val="22"/>
      <w:szCs w:val="28"/>
    </w:rPr>
  </w:style>
  <w:style w:type="paragraph" w:styleId="Heading2">
    <w:name w:val="heading 2"/>
    <w:basedOn w:val="Normal"/>
    <w:next w:val="BodyText"/>
    <w:link w:val="Heading2Char"/>
    <w:uiPriority w:val="9"/>
    <w:qFormat/>
    <w:rsid w:val="002C3808"/>
    <w:pPr>
      <w:keepNext/>
      <w:keepLines/>
      <w:numPr>
        <w:ilvl w:val="1"/>
        <w:numId w:val="8"/>
      </w:numPr>
      <w:spacing w:after="200"/>
      <w:outlineLvl w:val="1"/>
    </w:pPr>
    <w:rPr>
      <w:b/>
      <w:bCs/>
      <w:color w:val="339966"/>
      <w:sz w:val="22"/>
      <w:szCs w:val="26"/>
    </w:rPr>
  </w:style>
  <w:style w:type="paragraph" w:styleId="Heading3">
    <w:name w:val="heading 3"/>
    <w:basedOn w:val="Normal"/>
    <w:next w:val="BodyText"/>
    <w:link w:val="Heading3Char"/>
    <w:uiPriority w:val="9"/>
    <w:qFormat/>
    <w:rsid w:val="002C3808"/>
    <w:pPr>
      <w:keepNext/>
      <w:keepLines/>
      <w:numPr>
        <w:ilvl w:val="2"/>
        <w:numId w:val="8"/>
      </w:numPr>
      <w:spacing w:after="200"/>
      <w:outlineLvl w:val="2"/>
    </w:pPr>
    <w:rPr>
      <w:b/>
      <w:bCs/>
      <w:color w:val="339966"/>
    </w:rPr>
  </w:style>
  <w:style w:type="paragraph" w:styleId="Heading4">
    <w:name w:val="heading 4"/>
    <w:basedOn w:val="Normal"/>
    <w:next w:val="BodyText"/>
    <w:link w:val="Heading4Char"/>
    <w:uiPriority w:val="9"/>
    <w:qFormat/>
    <w:rsid w:val="002C3808"/>
    <w:pPr>
      <w:keepNext/>
      <w:keepLines/>
      <w:ind w:left="720"/>
      <w:outlineLvl w:val="3"/>
    </w:pPr>
    <w:rPr>
      <w:b/>
      <w:bCs/>
      <w:i/>
      <w:iCs/>
      <w:color w:val="339966"/>
    </w:rPr>
  </w:style>
  <w:style w:type="paragraph" w:styleId="Heading5">
    <w:name w:val="heading 5"/>
    <w:basedOn w:val="Normal"/>
    <w:next w:val="BodyText"/>
    <w:link w:val="Heading5Char"/>
    <w:uiPriority w:val="9"/>
    <w:qFormat/>
    <w:rsid w:val="002C3808"/>
    <w:pPr>
      <w:keepNext/>
      <w:keepLines/>
      <w:ind w:left="720"/>
      <w:outlineLvl w:val="4"/>
    </w:pPr>
    <w:rPr>
      <w:color w:val="339966"/>
      <w:u w:val="single"/>
    </w:rPr>
  </w:style>
  <w:style w:type="paragraph" w:styleId="Heading6">
    <w:name w:val="heading 6"/>
    <w:basedOn w:val="Normal"/>
    <w:next w:val="Normal"/>
    <w:link w:val="Heading6Char"/>
    <w:uiPriority w:val="9"/>
    <w:qFormat/>
    <w:rsid w:val="00310652"/>
    <w:pPr>
      <w:keepNext/>
      <w:keepLines/>
      <w:spacing w:before="200"/>
      <w:outlineLvl w:val="5"/>
    </w:pPr>
    <w:rPr>
      <w:rFonts w:eastAsia="Times New Roman"/>
      <w:i/>
      <w:iCs/>
      <w:sz w:val="22"/>
      <w:lang w:val="x-none"/>
    </w:rPr>
  </w:style>
  <w:style w:type="paragraph" w:styleId="Heading7">
    <w:name w:val="heading 7"/>
    <w:basedOn w:val="Normal"/>
    <w:next w:val="Normal"/>
    <w:link w:val="Heading7Char"/>
    <w:uiPriority w:val="9"/>
    <w:qFormat/>
    <w:rsid w:val="0088042D"/>
    <w:pPr>
      <w:keepNext/>
      <w:keepLines/>
      <w:spacing w:before="200"/>
      <w:outlineLvl w:val="6"/>
    </w:pPr>
    <w:rPr>
      <w:rFonts w:ascii="Cambria" w:eastAsia="Times New Roman" w:hAnsi="Cambria"/>
      <w:i/>
      <w:iCs/>
      <w:color w:val="404040"/>
      <w:sz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356F4"/>
    <w:pPr>
      <w:spacing w:after="165" w:line="240" w:lineRule="atLeast"/>
      <w:ind w:left="720"/>
    </w:pPr>
  </w:style>
  <w:style w:type="character" w:customStyle="1" w:styleId="BodyTextChar">
    <w:name w:val="Body Text Char"/>
    <w:link w:val="BodyText"/>
    <w:rsid w:val="001356F4"/>
    <w:rPr>
      <w:rFonts w:ascii="Tahoma" w:eastAsia="Calibri" w:hAnsi="Tahoma"/>
      <w:szCs w:val="22"/>
      <w:lang w:val="en-GB" w:eastAsia="en-US" w:bidi="ar-SA"/>
    </w:rPr>
  </w:style>
  <w:style w:type="character" w:customStyle="1" w:styleId="Heading1Char">
    <w:name w:val="Heading 1 Char"/>
    <w:link w:val="Heading1"/>
    <w:uiPriority w:val="9"/>
    <w:rsid w:val="002C3808"/>
    <w:rPr>
      <w:rFonts w:ascii="Tahoma" w:hAnsi="Tahoma"/>
      <w:b/>
      <w:bCs/>
      <w:caps/>
      <w:color w:val="339966"/>
      <w:sz w:val="22"/>
      <w:szCs w:val="28"/>
      <w:lang w:val="en-GB" w:eastAsia="en-US" w:bidi="ar-SA"/>
    </w:rPr>
  </w:style>
  <w:style w:type="character" w:customStyle="1" w:styleId="Heading2Char">
    <w:name w:val="Heading 2 Char"/>
    <w:link w:val="Heading2"/>
    <w:uiPriority w:val="9"/>
    <w:rsid w:val="002C3808"/>
    <w:rPr>
      <w:rFonts w:ascii="Tahoma" w:hAnsi="Tahoma"/>
      <w:b/>
      <w:bCs/>
      <w:color w:val="339966"/>
      <w:sz w:val="22"/>
      <w:szCs w:val="26"/>
      <w:lang w:val="en-GB" w:eastAsia="en-US" w:bidi="ar-SA"/>
    </w:rPr>
  </w:style>
  <w:style w:type="character" w:customStyle="1" w:styleId="Heading3Char">
    <w:name w:val="Heading 3 Char"/>
    <w:link w:val="Heading3"/>
    <w:uiPriority w:val="9"/>
    <w:rsid w:val="002C3808"/>
    <w:rPr>
      <w:rFonts w:ascii="Tahoma" w:hAnsi="Tahoma"/>
      <w:b/>
      <w:bCs/>
      <w:color w:val="339966"/>
      <w:szCs w:val="22"/>
      <w:lang w:val="en-GB" w:eastAsia="en-US" w:bidi="ar-SA"/>
    </w:rPr>
  </w:style>
  <w:style w:type="character" w:customStyle="1" w:styleId="Heading4Char">
    <w:name w:val="Heading 4 Char"/>
    <w:link w:val="Heading4"/>
    <w:uiPriority w:val="9"/>
    <w:semiHidden/>
    <w:rsid w:val="002C3808"/>
    <w:rPr>
      <w:rFonts w:ascii="Tahoma" w:hAnsi="Tahoma"/>
      <w:b/>
      <w:bCs/>
      <w:i/>
      <w:iCs/>
      <w:color w:val="339966"/>
      <w:szCs w:val="22"/>
      <w:lang w:val="en-GB" w:eastAsia="en-US" w:bidi="ar-SA"/>
    </w:rPr>
  </w:style>
  <w:style w:type="character" w:customStyle="1" w:styleId="Heading5Char">
    <w:name w:val="Heading 5 Char"/>
    <w:link w:val="Heading5"/>
    <w:uiPriority w:val="9"/>
    <w:semiHidden/>
    <w:rsid w:val="002C3808"/>
    <w:rPr>
      <w:rFonts w:ascii="Tahoma" w:hAnsi="Tahoma"/>
      <w:color w:val="339966"/>
      <w:szCs w:val="22"/>
      <w:u w:val="single"/>
      <w:lang w:val="en-GB" w:eastAsia="en-US" w:bidi="ar-SA"/>
    </w:rPr>
  </w:style>
  <w:style w:type="character" w:customStyle="1" w:styleId="Heading6Char">
    <w:name w:val="Heading 6 Char"/>
    <w:link w:val="Heading6"/>
    <w:uiPriority w:val="9"/>
    <w:semiHidden/>
    <w:rsid w:val="007E7CE1"/>
    <w:rPr>
      <w:rFonts w:ascii="Tahoma" w:eastAsia="Times New Roman" w:hAnsi="Tahoma"/>
      <w:i/>
      <w:iCs/>
      <w:sz w:val="22"/>
      <w:szCs w:val="22"/>
      <w:lang w:eastAsia="en-US"/>
    </w:rPr>
  </w:style>
  <w:style w:type="character" w:customStyle="1" w:styleId="Heading7Char">
    <w:name w:val="Heading 7 Char"/>
    <w:link w:val="Heading7"/>
    <w:uiPriority w:val="9"/>
    <w:semiHidden/>
    <w:rsid w:val="007E7CE1"/>
    <w:rPr>
      <w:rFonts w:eastAsia="Times New Roman"/>
      <w:i/>
      <w:iCs/>
      <w:color w:val="404040"/>
      <w:sz w:val="22"/>
      <w:szCs w:val="22"/>
      <w:lang w:eastAsia="en-US"/>
    </w:rPr>
  </w:style>
  <w:style w:type="paragraph" w:styleId="ListNumber">
    <w:name w:val="List Number"/>
    <w:basedOn w:val="Normal"/>
    <w:uiPriority w:val="99"/>
    <w:unhideWhenUsed/>
    <w:qFormat/>
    <w:rsid w:val="002C3808"/>
    <w:pPr>
      <w:numPr>
        <w:numId w:val="10"/>
      </w:numPr>
      <w:spacing w:line="240" w:lineRule="atLeast"/>
    </w:pPr>
  </w:style>
  <w:style w:type="paragraph" w:customStyle="1" w:styleId="ExSumHeading1">
    <w:name w:val="Ex Sum Heading 1"/>
    <w:basedOn w:val="Normal"/>
    <w:next w:val="ExSumBodyText"/>
    <w:qFormat/>
    <w:rsid w:val="002C3808"/>
    <w:pPr>
      <w:keepNext/>
      <w:keepLines/>
      <w:spacing w:after="200"/>
      <w:outlineLvl w:val="0"/>
    </w:pPr>
    <w:rPr>
      <w:rFonts w:eastAsia="Times New Roman"/>
      <w:b/>
      <w:bCs/>
      <w:caps/>
      <w:color w:val="339966"/>
      <w:sz w:val="22"/>
      <w:szCs w:val="28"/>
    </w:rPr>
  </w:style>
  <w:style w:type="paragraph" w:customStyle="1" w:styleId="ExSumBodyText">
    <w:name w:val="Ex Sum Body Text"/>
    <w:basedOn w:val="BodyText"/>
    <w:qFormat/>
    <w:rsid w:val="00F82362"/>
    <w:pPr>
      <w:ind w:left="0"/>
    </w:pPr>
  </w:style>
  <w:style w:type="paragraph" w:styleId="TOC4">
    <w:name w:val="toc 4"/>
    <w:basedOn w:val="Normal"/>
    <w:next w:val="Normal"/>
    <w:uiPriority w:val="39"/>
    <w:semiHidden/>
    <w:rsid w:val="00BB00BC"/>
    <w:pPr>
      <w:tabs>
        <w:tab w:val="right" w:pos="9639"/>
      </w:tabs>
      <w:spacing w:after="20"/>
      <w:ind w:right="567"/>
    </w:pPr>
  </w:style>
  <w:style w:type="paragraph" w:styleId="TOC5">
    <w:name w:val="toc 5"/>
    <w:basedOn w:val="Normal"/>
    <w:next w:val="Normal"/>
    <w:uiPriority w:val="39"/>
    <w:semiHidden/>
    <w:rsid w:val="00BB00BC"/>
    <w:pPr>
      <w:numPr>
        <w:numId w:val="3"/>
      </w:numPr>
      <w:tabs>
        <w:tab w:val="right" w:pos="9639"/>
      </w:tabs>
      <w:ind w:right="567"/>
    </w:pPr>
  </w:style>
  <w:style w:type="paragraph" w:styleId="ListBullet">
    <w:name w:val="List Bullet"/>
    <w:basedOn w:val="Normal"/>
    <w:uiPriority w:val="99"/>
    <w:unhideWhenUsed/>
    <w:qFormat/>
    <w:rsid w:val="0073349E"/>
    <w:pPr>
      <w:numPr>
        <w:numId w:val="17"/>
      </w:numPr>
      <w:spacing w:line="240" w:lineRule="atLeast"/>
    </w:pPr>
  </w:style>
  <w:style w:type="paragraph" w:styleId="ListBullet2">
    <w:name w:val="List Bullet 2"/>
    <w:basedOn w:val="Normal"/>
    <w:uiPriority w:val="99"/>
    <w:unhideWhenUsed/>
    <w:qFormat/>
    <w:rsid w:val="0073349E"/>
    <w:pPr>
      <w:numPr>
        <w:ilvl w:val="1"/>
        <w:numId w:val="9"/>
      </w:numPr>
      <w:spacing w:line="240" w:lineRule="atLeast"/>
    </w:pPr>
  </w:style>
  <w:style w:type="paragraph" w:styleId="Footer">
    <w:name w:val="footer"/>
    <w:basedOn w:val="Normal"/>
    <w:link w:val="FooterChar"/>
    <w:uiPriority w:val="99"/>
    <w:semiHidden/>
    <w:rsid w:val="00FC2168"/>
    <w:pPr>
      <w:pBdr>
        <w:top w:val="single" w:sz="4" w:space="6" w:color="auto"/>
      </w:pBdr>
      <w:tabs>
        <w:tab w:val="center" w:pos="4680"/>
        <w:tab w:val="right" w:pos="9360"/>
      </w:tabs>
      <w:jc w:val="center"/>
    </w:pPr>
    <w:rPr>
      <w:b/>
      <w:sz w:val="16"/>
    </w:rPr>
  </w:style>
  <w:style w:type="character" w:customStyle="1" w:styleId="FooterChar">
    <w:name w:val="Footer Char"/>
    <w:link w:val="Footer"/>
    <w:uiPriority w:val="99"/>
    <w:semiHidden/>
    <w:rsid w:val="00FC2168"/>
    <w:rPr>
      <w:rFonts w:ascii="Tahoma" w:eastAsia="Calibri" w:hAnsi="Tahoma"/>
      <w:b/>
      <w:sz w:val="16"/>
      <w:szCs w:val="22"/>
      <w:lang w:val="en-GB" w:eastAsia="en-US" w:bidi="ar-SA"/>
    </w:rPr>
  </w:style>
  <w:style w:type="paragraph" w:styleId="Header">
    <w:name w:val="header"/>
    <w:basedOn w:val="Normal"/>
    <w:link w:val="HeaderChar"/>
    <w:uiPriority w:val="99"/>
    <w:semiHidden/>
    <w:rsid w:val="003E6F9D"/>
    <w:pPr>
      <w:pBdr>
        <w:bottom w:val="single" w:sz="4" w:space="2" w:color="auto"/>
      </w:pBdr>
      <w:tabs>
        <w:tab w:val="right" w:pos="9639"/>
      </w:tabs>
    </w:pPr>
    <w:rPr>
      <w:b/>
      <w:sz w:val="16"/>
    </w:rPr>
  </w:style>
  <w:style w:type="character" w:customStyle="1" w:styleId="HeaderChar">
    <w:name w:val="Header Char"/>
    <w:link w:val="Header"/>
    <w:uiPriority w:val="99"/>
    <w:semiHidden/>
    <w:rsid w:val="003E6F9D"/>
    <w:rPr>
      <w:rFonts w:ascii="Tahoma" w:eastAsia="Calibri" w:hAnsi="Tahoma"/>
      <w:b/>
      <w:sz w:val="16"/>
      <w:szCs w:val="22"/>
      <w:lang w:val="en-GB" w:eastAsia="en-US" w:bidi="ar-SA"/>
    </w:rPr>
  </w:style>
  <w:style w:type="character" w:styleId="PageNumber">
    <w:name w:val="page number"/>
    <w:uiPriority w:val="99"/>
    <w:semiHidden/>
    <w:unhideWhenUsed/>
    <w:rsid w:val="00F16BDE"/>
    <w:rPr>
      <w:rFonts w:ascii="Arial" w:hAnsi="Arial"/>
      <w:sz w:val="20"/>
    </w:rPr>
  </w:style>
  <w:style w:type="paragraph" w:styleId="Title">
    <w:name w:val="Title"/>
    <w:basedOn w:val="Normal"/>
    <w:next w:val="Normal"/>
    <w:link w:val="TitleChar"/>
    <w:uiPriority w:val="10"/>
    <w:qFormat/>
    <w:rsid w:val="001850C9"/>
    <w:pPr>
      <w:spacing w:after="120"/>
      <w:jc w:val="center"/>
    </w:pPr>
    <w:rPr>
      <w:b/>
      <w:i/>
      <w:caps/>
      <w:color w:val="339966"/>
      <w:kern w:val="28"/>
      <w:szCs w:val="52"/>
    </w:rPr>
  </w:style>
  <w:style w:type="character" w:customStyle="1" w:styleId="TitleChar">
    <w:name w:val="Title Char"/>
    <w:link w:val="Title"/>
    <w:uiPriority w:val="10"/>
    <w:rsid w:val="001850C9"/>
    <w:rPr>
      <w:rFonts w:ascii="Tahoma" w:hAnsi="Tahoma"/>
      <w:b/>
      <w:i/>
      <w:caps/>
      <w:color w:val="339966"/>
      <w:kern w:val="28"/>
      <w:szCs w:val="52"/>
      <w:lang w:val="en-GB" w:eastAsia="en-US" w:bidi="ar-SA"/>
    </w:rPr>
  </w:style>
  <w:style w:type="paragraph" w:styleId="TOC1">
    <w:name w:val="toc 1"/>
    <w:basedOn w:val="Normal"/>
    <w:next w:val="Normal"/>
    <w:uiPriority w:val="39"/>
    <w:rsid w:val="00BB00BC"/>
    <w:pPr>
      <w:tabs>
        <w:tab w:val="left" w:pos="720"/>
        <w:tab w:val="right" w:pos="9639"/>
      </w:tabs>
      <w:spacing w:before="200" w:after="20"/>
      <w:ind w:left="720" w:right="567" w:hanging="720"/>
    </w:pPr>
    <w:rPr>
      <w:b/>
      <w:caps/>
      <w:color w:val="339966"/>
    </w:rPr>
  </w:style>
  <w:style w:type="paragraph" w:styleId="TOC2">
    <w:name w:val="toc 2"/>
    <w:basedOn w:val="Normal"/>
    <w:next w:val="Normal"/>
    <w:uiPriority w:val="39"/>
    <w:rsid w:val="00BB00BC"/>
    <w:pPr>
      <w:tabs>
        <w:tab w:val="left" w:pos="1304"/>
        <w:tab w:val="right" w:pos="9639"/>
      </w:tabs>
      <w:spacing w:after="20"/>
      <w:ind w:left="1304" w:right="567" w:hanging="584"/>
    </w:pPr>
  </w:style>
  <w:style w:type="paragraph" w:styleId="TOC3">
    <w:name w:val="toc 3"/>
    <w:basedOn w:val="Normal"/>
    <w:next w:val="Normal"/>
    <w:uiPriority w:val="39"/>
    <w:rsid w:val="00BB00BC"/>
    <w:pPr>
      <w:tabs>
        <w:tab w:val="left" w:pos="1673"/>
        <w:tab w:val="right" w:pos="9639"/>
      </w:tabs>
      <w:spacing w:after="20"/>
      <w:ind w:left="1888" w:right="567" w:hanging="584"/>
    </w:pPr>
  </w:style>
  <w:style w:type="table" w:styleId="TableGrid">
    <w:name w:val="Table Grid"/>
    <w:basedOn w:val="TableNormal"/>
    <w:uiPriority w:val="59"/>
    <w:rsid w:val="00183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urText">
    <w:name w:val="Colour Text"/>
    <w:basedOn w:val="Normal"/>
    <w:qFormat/>
    <w:rsid w:val="002C3808"/>
    <w:pPr>
      <w:ind w:left="1701"/>
    </w:pPr>
    <w:rPr>
      <w:color w:val="339966"/>
    </w:rPr>
  </w:style>
  <w:style w:type="paragraph" w:styleId="Date">
    <w:name w:val="Date"/>
    <w:basedOn w:val="Normal"/>
    <w:next w:val="Normal"/>
    <w:link w:val="DateChar"/>
    <w:uiPriority w:val="99"/>
    <w:rsid w:val="001850C9"/>
    <w:pPr>
      <w:spacing w:after="120"/>
      <w:jc w:val="center"/>
    </w:pPr>
    <w:rPr>
      <w:b/>
      <w:color w:val="339966"/>
    </w:rPr>
  </w:style>
  <w:style w:type="character" w:customStyle="1" w:styleId="DateChar">
    <w:name w:val="Date Char"/>
    <w:link w:val="Date"/>
    <w:uiPriority w:val="99"/>
    <w:rsid w:val="001850C9"/>
    <w:rPr>
      <w:rFonts w:ascii="Tahoma" w:eastAsia="Calibri" w:hAnsi="Tahoma"/>
      <w:b/>
      <w:color w:val="339966"/>
      <w:szCs w:val="22"/>
      <w:lang w:val="en-GB" w:eastAsia="en-US" w:bidi="ar-SA"/>
    </w:rPr>
  </w:style>
  <w:style w:type="paragraph" w:customStyle="1" w:styleId="ContentsHeading">
    <w:name w:val="Contents Heading"/>
    <w:basedOn w:val="Heading1"/>
    <w:next w:val="Normal"/>
    <w:qFormat/>
    <w:rsid w:val="003F5B76"/>
    <w:pPr>
      <w:pageBreakBefore w:val="0"/>
      <w:numPr>
        <w:numId w:val="0"/>
      </w:numPr>
      <w:tabs>
        <w:tab w:val="right" w:pos="9639"/>
      </w:tabs>
    </w:pPr>
    <w:rPr>
      <w:sz w:val="20"/>
    </w:rPr>
  </w:style>
  <w:style w:type="paragraph" w:customStyle="1" w:styleId="TableHeading">
    <w:name w:val="Table Heading"/>
    <w:basedOn w:val="BodyText"/>
    <w:qFormat/>
    <w:rsid w:val="00094531"/>
    <w:pPr>
      <w:numPr>
        <w:numId w:val="7"/>
      </w:numPr>
    </w:pPr>
    <w:rPr>
      <w:b/>
      <w:u w:val="single"/>
    </w:rPr>
  </w:style>
  <w:style w:type="paragraph" w:styleId="Quote">
    <w:name w:val="Quote"/>
    <w:basedOn w:val="Normal"/>
    <w:next w:val="BodyText"/>
    <w:link w:val="QuoteChar"/>
    <w:uiPriority w:val="29"/>
    <w:qFormat/>
    <w:rsid w:val="002C3808"/>
    <w:pPr>
      <w:spacing w:after="165" w:line="240" w:lineRule="atLeast"/>
      <w:ind w:left="720"/>
      <w:jc w:val="center"/>
    </w:pPr>
    <w:rPr>
      <w:i/>
      <w:iCs/>
      <w:color w:val="339966"/>
    </w:rPr>
  </w:style>
  <w:style w:type="character" w:customStyle="1" w:styleId="QuoteChar">
    <w:name w:val="Quote Char"/>
    <w:link w:val="Quote"/>
    <w:uiPriority w:val="29"/>
    <w:rsid w:val="002C3808"/>
    <w:rPr>
      <w:rFonts w:ascii="Tahoma" w:eastAsia="Calibri" w:hAnsi="Tahoma"/>
      <w:i/>
      <w:iCs/>
      <w:color w:val="339966"/>
      <w:szCs w:val="22"/>
      <w:lang w:val="en-GB" w:eastAsia="en-US" w:bidi="ar-SA"/>
    </w:rPr>
  </w:style>
  <w:style w:type="character" w:customStyle="1" w:styleId="ColourCharacters">
    <w:name w:val="Colour Characters"/>
    <w:uiPriority w:val="1"/>
    <w:qFormat/>
    <w:rsid w:val="002C3808"/>
    <w:rPr>
      <w:color w:val="339966"/>
    </w:rPr>
  </w:style>
  <w:style w:type="paragraph" w:styleId="FootnoteText">
    <w:name w:val="footnote text"/>
    <w:basedOn w:val="Normal"/>
    <w:link w:val="FootnoteTextChar"/>
    <w:uiPriority w:val="99"/>
    <w:semiHidden/>
    <w:unhideWhenUsed/>
    <w:rsid w:val="00822AC1"/>
    <w:rPr>
      <w:sz w:val="16"/>
      <w:szCs w:val="20"/>
    </w:rPr>
  </w:style>
  <w:style w:type="character" w:customStyle="1" w:styleId="FootnoteTextChar">
    <w:name w:val="Footnote Text Char"/>
    <w:link w:val="FootnoteText"/>
    <w:uiPriority w:val="99"/>
    <w:semiHidden/>
    <w:rsid w:val="00822AC1"/>
    <w:rPr>
      <w:rFonts w:ascii="Tahoma" w:eastAsia="Calibri" w:hAnsi="Tahoma"/>
      <w:sz w:val="16"/>
      <w:lang w:val="en-GB" w:eastAsia="en-US" w:bidi="ar-SA"/>
    </w:rPr>
  </w:style>
  <w:style w:type="character" w:styleId="FootnoteReference">
    <w:name w:val="footnote reference"/>
    <w:uiPriority w:val="99"/>
    <w:semiHidden/>
    <w:unhideWhenUsed/>
    <w:rsid w:val="00C27A67"/>
    <w:rPr>
      <w:vertAlign w:val="superscript"/>
    </w:rPr>
  </w:style>
  <w:style w:type="paragraph" w:customStyle="1" w:styleId="TableListBullet">
    <w:name w:val="Table List Bullet"/>
    <w:basedOn w:val="BodyText"/>
    <w:qFormat/>
    <w:rsid w:val="001356F4"/>
    <w:pPr>
      <w:numPr>
        <w:numId w:val="2"/>
      </w:numPr>
      <w:spacing w:after="0"/>
      <w:jc w:val="left"/>
    </w:pPr>
  </w:style>
  <w:style w:type="paragraph" w:customStyle="1" w:styleId="TableText">
    <w:name w:val="Table Text"/>
    <w:basedOn w:val="Normal"/>
    <w:qFormat/>
    <w:rsid w:val="00CE68D2"/>
    <w:pPr>
      <w:spacing w:line="240" w:lineRule="atLeast"/>
    </w:pPr>
  </w:style>
  <w:style w:type="paragraph" w:customStyle="1" w:styleId="TableColourText">
    <w:name w:val="Table Colour Text"/>
    <w:basedOn w:val="Normal"/>
    <w:qFormat/>
    <w:rsid w:val="002C3808"/>
    <w:pPr>
      <w:spacing w:after="165" w:line="240" w:lineRule="atLeast"/>
    </w:pPr>
    <w:rPr>
      <w:color w:val="339966"/>
    </w:rPr>
  </w:style>
  <w:style w:type="paragraph" w:customStyle="1" w:styleId="AppendixTitle">
    <w:name w:val="Appendix Title"/>
    <w:basedOn w:val="Title"/>
    <w:next w:val="AppendixSubtitle"/>
    <w:qFormat/>
    <w:rsid w:val="00EE04A8"/>
    <w:pPr>
      <w:numPr>
        <w:numId w:val="11"/>
      </w:numPr>
      <w:spacing w:before="5660" w:after="300"/>
      <w:ind w:left="0" w:firstLine="0"/>
    </w:pPr>
    <w:rPr>
      <w:i w:val="0"/>
      <w:sz w:val="40"/>
    </w:rPr>
  </w:style>
  <w:style w:type="paragraph" w:customStyle="1" w:styleId="AppendixSubtitle">
    <w:name w:val="Appendix Subtitle"/>
    <w:basedOn w:val="Normal"/>
    <w:next w:val="AppendixBodyText"/>
    <w:qFormat/>
    <w:rsid w:val="00210BC3"/>
    <w:pPr>
      <w:numPr>
        <w:ilvl w:val="1"/>
      </w:numPr>
      <w:spacing w:after="200"/>
      <w:jc w:val="center"/>
    </w:pPr>
    <w:rPr>
      <w:rFonts w:eastAsia="Times New Roman"/>
      <w:b/>
      <w:iCs/>
      <w:color w:val="339966"/>
      <w:sz w:val="40"/>
      <w:szCs w:val="24"/>
      <w:u w:val="single"/>
    </w:rPr>
  </w:style>
  <w:style w:type="paragraph" w:customStyle="1" w:styleId="AppendixBodyText">
    <w:name w:val="Appendix Body Text"/>
    <w:basedOn w:val="BodyText"/>
    <w:rsid w:val="005069D0"/>
    <w:pPr>
      <w:ind w:left="0"/>
    </w:pPr>
  </w:style>
  <w:style w:type="paragraph" w:customStyle="1" w:styleId="AppendixHeader">
    <w:name w:val="Appendix Header"/>
    <w:basedOn w:val="Header"/>
    <w:semiHidden/>
    <w:qFormat/>
    <w:rsid w:val="00FC2168"/>
  </w:style>
  <w:style w:type="paragraph" w:customStyle="1" w:styleId="TableListNumber">
    <w:name w:val="Table List Number"/>
    <w:basedOn w:val="ListNumber"/>
    <w:rsid w:val="001356F4"/>
    <w:pPr>
      <w:numPr>
        <w:numId w:val="1"/>
      </w:numPr>
    </w:pPr>
  </w:style>
  <w:style w:type="paragraph" w:customStyle="1" w:styleId="ColumnHeading">
    <w:name w:val="Column Heading"/>
    <w:basedOn w:val="Normal"/>
    <w:rsid w:val="001356F4"/>
    <w:rPr>
      <w:b/>
      <w:color w:val="FFFFFF"/>
    </w:rPr>
  </w:style>
  <w:style w:type="paragraph" w:customStyle="1" w:styleId="RowHeading">
    <w:name w:val="Row Heading"/>
    <w:basedOn w:val="Normal"/>
    <w:rsid w:val="001356F4"/>
    <w:rPr>
      <w:b/>
      <w:color w:val="FFFFFF"/>
    </w:rPr>
  </w:style>
  <w:style w:type="character" w:styleId="Hyperlink">
    <w:name w:val="Hyperlink"/>
    <w:uiPriority w:val="99"/>
    <w:rsid w:val="006E6E18"/>
    <w:rPr>
      <w:color w:val="0000FF"/>
      <w:u w:val="single"/>
    </w:rPr>
  </w:style>
  <w:style w:type="paragraph" w:customStyle="1" w:styleId="LandscapeHeader">
    <w:name w:val="Landscape Header"/>
    <w:basedOn w:val="Header"/>
    <w:semiHidden/>
    <w:rsid w:val="009668C5"/>
    <w:pPr>
      <w:tabs>
        <w:tab w:val="clear" w:pos="9639"/>
        <w:tab w:val="right" w:pos="14572"/>
      </w:tabs>
    </w:pPr>
  </w:style>
  <w:style w:type="paragraph" w:customStyle="1" w:styleId="CoverFooter">
    <w:name w:val="Cover Footer"/>
    <w:basedOn w:val="Footer"/>
    <w:semiHidden/>
    <w:rsid w:val="00FC2168"/>
    <w:pPr>
      <w:pBdr>
        <w:top w:val="none" w:sz="0" w:space="0" w:color="auto"/>
      </w:pBdr>
    </w:pPr>
    <w:rPr>
      <w:b w:val="0"/>
    </w:rPr>
  </w:style>
  <w:style w:type="paragraph" w:customStyle="1" w:styleId="CoverText">
    <w:name w:val="Cover Text"/>
    <w:basedOn w:val="Normal"/>
    <w:rsid w:val="001850C9"/>
    <w:pPr>
      <w:spacing w:after="120"/>
      <w:jc w:val="center"/>
    </w:pPr>
  </w:style>
  <w:style w:type="paragraph" w:customStyle="1" w:styleId="FigureHeading">
    <w:name w:val="Figure Heading"/>
    <w:basedOn w:val="TableHeading"/>
    <w:next w:val="BodyText"/>
    <w:qFormat/>
    <w:rsid w:val="00822AC1"/>
    <w:pPr>
      <w:numPr>
        <w:numId w:val="6"/>
      </w:numPr>
    </w:pPr>
  </w:style>
  <w:style w:type="paragraph" w:customStyle="1" w:styleId="ExSumHeading2">
    <w:name w:val="Ex Sum Heading 2"/>
    <w:basedOn w:val="ExSumHeading1"/>
    <w:next w:val="ExSumBodyText"/>
    <w:qFormat/>
    <w:rsid w:val="00F82362"/>
    <w:rPr>
      <w:caps w:val="0"/>
    </w:rPr>
  </w:style>
  <w:style w:type="paragraph" w:customStyle="1" w:styleId="ExSumHeading3">
    <w:name w:val="Ex Sum Heading 3"/>
    <w:basedOn w:val="ExSumHeading2"/>
    <w:next w:val="ExSumBodyText"/>
    <w:qFormat/>
    <w:rsid w:val="00F82362"/>
    <w:rPr>
      <w:sz w:val="20"/>
    </w:rPr>
  </w:style>
  <w:style w:type="paragraph" w:customStyle="1" w:styleId="ExSumHeading4">
    <w:name w:val="Ex Sum Heading 4"/>
    <w:basedOn w:val="ExSumHeading3"/>
    <w:next w:val="ExSumBodyText"/>
    <w:qFormat/>
    <w:rsid w:val="00F82362"/>
    <w:pPr>
      <w:spacing w:after="0"/>
    </w:pPr>
    <w:rPr>
      <w:i/>
    </w:rPr>
  </w:style>
  <w:style w:type="paragraph" w:customStyle="1" w:styleId="ExSumBullet1">
    <w:name w:val="Ex Sum Bullet 1"/>
    <w:basedOn w:val="ExSumBodyText"/>
    <w:qFormat/>
    <w:rsid w:val="00822AC1"/>
    <w:pPr>
      <w:numPr>
        <w:numId w:val="4"/>
      </w:numPr>
      <w:spacing w:after="0"/>
      <w:ind w:left="584" w:hanging="584"/>
    </w:pPr>
  </w:style>
  <w:style w:type="paragraph" w:customStyle="1" w:styleId="ExSumNumber1">
    <w:name w:val="Ex Sum Number 1"/>
    <w:basedOn w:val="ExSumBodyText"/>
    <w:qFormat/>
    <w:rsid w:val="00822AC1"/>
    <w:pPr>
      <w:numPr>
        <w:numId w:val="5"/>
      </w:numPr>
      <w:spacing w:after="0"/>
      <w:ind w:left="584" w:hanging="584"/>
    </w:pPr>
  </w:style>
  <w:style w:type="paragraph" w:customStyle="1" w:styleId="AppendixLandscapeHeader">
    <w:name w:val="Appendix Landscape Header"/>
    <w:basedOn w:val="AppendixHeader"/>
    <w:next w:val="Normal"/>
    <w:semiHidden/>
    <w:rsid w:val="00BC58AA"/>
    <w:pPr>
      <w:tabs>
        <w:tab w:val="clear" w:pos="9639"/>
        <w:tab w:val="right" w:pos="14572"/>
      </w:tabs>
    </w:pPr>
  </w:style>
  <w:style w:type="paragraph" w:customStyle="1" w:styleId="FirstBullet">
    <w:name w:val="First Bullet"/>
    <w:basedOn w:val="ListBullet"/>
    <w:next w:val="ListBullet"/>
    <w:uiPriority w:val="99"/>
    <w:qFormat/>
    <w:rsid w:val="00210BC3"/>
    <w:pPr>
      <w:numPr>
        <w:numId w:val="15"/>
      </w:numPr>
      <w:spacing w:before="200"/>
    </w:pPr>
  </w:style>
  <w:style w:type="paragraph" w:customStyle="1" w:styleId="FirstBullet2">
    <w:name w:val="First Bullet 2"/>
    <w:basedOn w:val="ListBullet2"/>
    <w:next w:val="ListBullet2"/>
    <w:qFormat/>
    <w:rsid w:val="00606C3A"/>
    <w:pPr>
      <w:numPr>
        <w:ilvl w:val="0"/>
        <w:numId w:val="16"/>
      </w:numPr>
      <w:spacing w:before="200"/>
    </w:pPr>
  </w:style>
  <w:style w:type="paragraph" w:customStyle="1" w:styleId="ExSumFirstBullet">
    <w:name w:val="Ex Sum First Bullet"/>
    <w:basedOn w:val="ExSumBullet1"/>
    <w:next w:val="ExSumBullet1"/>
    <w:rsid w:val="007975EF"/>
    <w:pPr>
      <w:spacing w:before="200"/>
    </w:pPr>
  </w:style>
  <w:style w:type="paragraph" w:customStyle="1" w:styleId="AppendixBullet1">
    <w:name w:val="Appendix Bullet 1"/>
    <w:basedOn w:val="ExSumBullet1"/>
    <w:qFormat/>
    <w:rsid w:val="00822AC1"/>
    <w:pPr>
      <w:numPr>
        <w:numId w:val="12"/>
      </w:numPr>
    </w:pPr>
  </w:style>
  <w:style w:type="paragraph" w:customStyle="1" w:styleId="AppendixFirstBullet">
    <w:name w:val="Appendix First Bullet"/>
    <w:basedOn w:val="ExSumFirstBullet"/>
    <w:next w:val="AppendixBullet1"/>
    <w:rsid w:val="00822AC1"/>
    <w:pPr>
      <w:numPr>
        <w:numId w:val="14"/>
      </w:numPr>
    </w:pPr>
  </w:style>
  <w:style w:type="paragraph" w:customStyle="1" w:styleId="AppendixNumber1">
    <w:name w:val="Appendix Number 1"/>
    <w:basedOn w:val="ExSumNumber1"/>
    <w:qFormat/>
    <w:rsid w:val="00822AC1"/>
    <w:pPr>
      <w:numPr>
        <w:numId w:val="13"/>
      </w:numPr>
    </w:pPr>
  </w:style>
  <w:style w:type="paragraph" w:customStyle="1" w:styleId="AppendixHeading1">
    <w:name w:val="Appendix Heading 1"/>
    <w:basedOn w:val="ExSumHeading1"/>
    <w:next w:val="Normal"/>
    <w:qFormat/>
    <w:rsid w:val="00A43C92"/>
    <w:rPr>
      <w:bCs w:val="0"/>
    </w:rPr>
  </w:style>
  <w:style w:type="paragraph" w:customStyle="1" w:styleId="AppendixHeading2">
    <w:name w:val="Appendix Heading 2"/>
    <w:basedOn w:val="AppendixHeading1"/>
    <w:next w:val="Normal"/>
    <w:qFormat/>
    <w:rsid w:val="00A43C92"/>
    <w:rPr>
      <w:caps w:val="0"/>
    </w:rPr>
  </w:style>
  <w:style w:type="paragraph" w:customStyle="1" w:styleId="AppendixHeading3">
    <w:name w:val="Appendix Heading 3"/>
    <w:basedOn w:val="AppendixHeading2"/>
    <w:next w:val="Normal"/>
    <w:qFormat/>
    <w:rsid w:val="00A43C92"/>
    <w:rPr>
      <w:sz w:val="20"/>
    </w:rPr>
  </w:style>
  <w:style w:type="paragraph" w:customStyle="1" w:styleId="AppendixHeading4">
    <w:name w:val="Appendix Heading 4"/>
    <w:basedOn w:val="AppendixHeading3"/>
    <w:next w:val="Normal"/>
    <w:qFormat/>
    <w:rsid w:val="00A43C92"/>
    <w:pPr>
      <w:spacing w:after="0"/>
    </w:pPr>
    <w:rPr>
      <w:i/>
    </w:rPr>
  </w:style>
  <w:style w:type="paragraph" w:customStyle="1" w:styleId="Box1Text">
    <w:name w:val="Box 1 Text"/>
    <w:basedOn w:val="BodyText"/>
    <w:next w:val="BodyText"/>
    <w:rsid w:val="00454D92"/>
    <w:pPr>
      <w:ind w:left="0"/>
    </w:pPr>
    <w:rPr>
      <w:color w:val="339966"/>
    </w:rPr>
  </w:style>
  <w:style w:type="paragraph" w:customStyle="1" w:styleId="Box1Bullet">
    <w:name w:val="Box 1 Bullet"/>
    <w:basedOn w:val="Box1Text"/>
    <w:rsid w:val="00454D92"/>
    <w:pPr>
      <w:numPr>
        <w:numId w:val="18"/>
      </w:numPr>
    </w:pPr>
  </w:style>
  <w:style w:type="paragraph" w:customStyle="1" w:styleId="Box1Number">
    <w:name w:val="Box 1 Number"/>
    <w:basedOn w:val="Box1Text"/>
    <w:rsid w:val="00454D92"/>
    <w:pPr>
      <w:numPr>
        <w:numId w:val="19"/>
      </w:numPr>
    </w:pPr>
  </w:style>
  <w:style w:type="paragraph" w:customStyle="1" w:styleId="Box2Text">
    <w:name w:val="Box 2 Text"/>
    <w:basedOn w:val="BodyText"/>
    <w:next w:val="BodyText"/>
    <w:rsid w:val="00454D92"/>
    <w:pPr>
      <w:ind w:left="0"/>
    </w:pPr>
    <w:rPr>
      <w:color w:val="99CC00"/>
    </w:rPr>
  </w:style>
  <w:style w:type="paragraph" w:customStyle="1" w:styleId="Box2Bullet">
    <w:name w:val="Box 2 Bullet"/>
    <w:basedOn w:val="Box2Text"/>
    <w:rsid w:val="00454D92"/>
    <w:pPr>
      <w:numPr>
        <w:numId w:val="20"/>
      </w:numPr>
    </w:pPr>
  </w:style>
  <w:style w:type="paragraph" w:customStyle="1" w:styleId="Box2Number">
    <w:name w:val="Box 2 Number"/>
    <w:basedOn w:val="Box2Text"/>
    <w:rsid w:val="00454D92"/>
    <w:pPr>
      <w:numPr>
        <w:numId w:val="21"/>
      </w:numPr>
    </w:pPr>
  </w:style>
  <w:style w:type="paragraph" w:customStyle="1" w:styleId="Box3Text">
    <w:name w:val="Box 3 Text"/>
    <w:basedOn w:val="BodyText"/>
    <w:next w:val="BodyText"/>
    <w:rsid w:val="00454D92"/>
    <w:pPr>
      <w:ind w:left="0"/>
    </w:pPr>
    <w:rPr>
      <w:color w:val="808080"/>
    </w:rPr>
  </w:style>
  <w:style w:type="paragraph" w:customStyle="1" w:styleId="Box3Bullet">
    <w:name w:val="Box 3 Bullet"/>
    <w:basedOn w:val="Box3Text"/>
    <w:rsid w:val="00454D92"/>
    <w:pPr>
      <w:numPr>
        <w:numId w:val="22"/>
      </w:numPr>
    </w:pPr>
  </w:style>
  <w:style w:type="paragraph" w:customStyle="1" w:styleId="Box3Number">
    <w:name w:val="Box 3 Number"/>
    <w:basedOn w:val="Box3Text"/>
    <w:rsid w:val="00454D92"/>
    <w:pPr>
      <w:numPr>
        <w:numId w:val="23"/>
      </w:numPr>
    </w:pPr>
  </w:style>
  <w:style w:type="paragraph" w:styleId="NoSpacing">
    <w:name w:val="No Spacing"/>
    <w:uiPriority w:val="1"/>
    <w:qFormat/>
    <w:rsid w:val="006037A1"/>
    <w:pPr>
      <w:jc w:val="both"/>
    </w:pPr>
    <w:rPr>
      <w:rFonts w:ascii="Tahoma" w:hAnsi="Tahoma"/>
      <w:szCs w:val="22"/>
      <w:lang w:eastAsia="en-US"/>
    </w:rPr>
  </w:style>
  <w:style w:type="paragraph" w:styleId="NormalWeb">
    <w:name w:val="Normal (Web)"/>
    <w:basedOn w:val="Normal"/>
    <w:uiPriority w:val="99"/>
    <w:semiHidden/>
    <w:unhideWhenUsed/>
    <w:rsid w:val="00971A02"/>
    <w:rPr>
      <w:rFonts w:ascii="Times New Roman" w:hAnsi="Times New Roman"/>
      <w:sz w:val="24"/>
      <w:szCs w:val="24"/>
    </w:rPr>
  </w:style>
  <w:style w:type="character" w:customStyle="1" w:styleId="UnresolvedMention">
    <w:name w:val="Unresolved Mention"/>
    <w:basedOn w:val="DefaultParagraphFont"/>
    <w:uiPriority w:val="99"/>
    <w:semiHidden/>
    <w:unhideWhenUsed/>
    <w:rsid w:val="008C2A8B"/>
    <w:rPr>
      <w:color w:val="808080"/>
      <w:shd w:val="clear" w:color="auto" w:fill="E6E6E6"/>
    </w:rPr>
  </w:style>
  <w:style w:type="character" w:styleId="FollowedHyperlink">
    <w:name w:val="FollowedHyperlink"/>
    <w:basedOn w:val="DefaultParagraphFont"/>
    <w:uiPriority w:val="99"/>
    <w:semiHidden/>
    <w:unhideWhenUsed/>
    <w:rsid w:val="00486A9F"/>
    <w:rPr>
      <w:color w:val="954F72" w:themeColor="followedHyperlink"/>
      <w:u w:val="single"/>
    </w:rPr>
  </w:style>
  <w:style w:type="paragraph" w:styleId="BalloonText">
    <w:name w:val="Balloon Text"/>
    <w:basedOn w:val="Normal"/>
    <w:link w:val="BalloonTextChar"/>
    <w:uiPriority w:val="99"/>
    <w:semiHidden/>
    <w:unhideWhenUsed/>
    <w:rsid w:val="008022D2"/>
    <w:rPr>
      <w:rFonts w:ascii="Arial" w:hAnsi="Arial" w:cs="Arial"/>
      <w:sz w:val="18"/>
      <w:szCs w:val="18"/>
    </w:rPr>
  </w:style>
  <w:style w:type="character" w:customStyle="1" w:styleId="BalloonTextChar">
    <w:name w:val="Balloon Text Char"/>
    <w:basedOn w:val="DefaultParagraphFont"/>
    <w:link w:val="BalloonText"/>
    <w:uiPriority w:val="99"/>
    <w:semiHidden/>
    <w:rsid w:val="008022D2"/>
    <w:rPr>
      <w:rFonts w:ascii="Arial" w:hAnsi="Arial" w:cs="Arial"/>
      <w:sz w:val="18"/>
      <w:szCs w:val="18"/>
      <w:lang w:eastAsia="en-US"/>
    </w:rPr>
  </w:style>
  <w:style w:type="character" w:styleId="CommentReference">
    <w:name w:val="annotation reference"/>
    <w:basedOn w:val="DefaultParagraphFont"/>
    <w:uiPriority w:val="99"/>
    <w:semiHidden/>
    <w:unhideWhenUsed/>
    <w:rsid w:val="00A43DC4"/>
    <w:rPr>
      <w:sz w:val="16"/>
      <w:szCs w:val="16"/>
    </w:rPr>
  </w:style>
  <w:style w:type="paragraph" w:styleId="CommentText">
    <w:name w:val="annotation text"/>
    <w:basedOn w:val="Normal"/>
    <w:link w:val="CommentTextChar"/>
    <w:uiPriority w:val="99"/>
    <w:semiHidden/>
    <w:unhideWhenUsed/>
    <w:rsid w:val="00A43DC4"/>
    <w:rPr>
      <w:szCs w:val="20"/>
    </w:rPr>
  </w:style>
  <w:style w:type="character" w:customStyle="1" w:styleId="CommentTextChar">
    <w:name w:val="Comment Text Char"/>
    <w:basedOn w:val="DefaultParagraphFont"/>
    <w:link w:val="CommentText"/>
    <w:uiPriority w:val="99"/>
    <w:semiHidden/>
    <w:rsid w:val="00A43DC4"/>
    <w:rPr>
      <w:rFonts w:ascii="Tahoma" w:hAnsi="Tahoma"/>
      <w:lang w:eastAsia="en-US"/>
    </w:rPr>
  </w:style>
  <w:style w:type="paragraph" w:styleId="CommentSubject">
    <w:name w:val="annotation subject"/>
    <w:basedOn w:val="CommentText"/>
    <w:next w:val="CommentText"/>
    <w:link w:val="CommentSubjectChar"/>
    <w:uiPriority w:val="99"/>
    <w:semiHidden/>
    <w:unhideWhenUsed/>
    <w:rsid w:val="00A43DC4"/>
    <w:rPr>
      <w:b/>
      <w:bCs/>
    </w:rPr>
  </w:style>
  <w:style w:type="character" w:customStyle="1" w:styleId="CommentSubjectChar">
    <w:name w:val="Comment Subject Char"/>
    <w:basedOn w:val="CommentTextChar"/>
    <w:link w:val="CommentSubject"/>
    <w:uiPriority w:val="99"/>
    <w:semiHidden/>
    <w:rsid w:val="00A43DC4"/>
    <w:rPr>
      <w:rFonts w:ascii="Tahoma" w:hAnsi="Tahoma"/>
      <w:b/>
      <w:bCs/>
      <w:lang w:eastAsia="en-US"/>
    </w:rPr>
  </w:style>
  <w:style w:type="paragraph" w:customStyle="1" w:styleId="Default">
    <w:name w:val="Default"/>
    <w:rsid w:val="009833DF"/>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15601">
      <w:bodyDiv w:val="1"/>
      <w:marLeft w:val="0"/>
      <w:marRight w:val="0"/>
      <w:marTop w:val="0"/>
      <w:marBottom w:val="0"/>
      <w:divBdr>
        <w:top w:val="none" w:sz="0" w:space="0" w:color="auto"/>
        <w:left w:val="none" w:sz="0" w:space="0" w:color="auto"/>
        <w:bottom w:val="none" w:sz="0" w:space="0" w:color="auto"/>
        <w:right w:val="none" w:sz="0" w:space="0" w:color="auto"/>
      </w:divBdr>
    </w:div>
    <w:div w:id="1850634976">
      <w:bodyDiv w:val="1"/>
      <w:marLeft w:val="0"/>
      <w:marRight w:val="0"/>
      <w:marTop w:val="0"/>
      <w:marBottom w:val="0"/>
      <w:divBdr>
        <w:top w:val="none" w:sz="0" w:space="0" w:color="auto"/>
        <w:left w:val="none" w:sz="0" w:space="0" w:color="auto"/>
        <w:bottom w:val="none" w:sz="0" w:space="0" w:color="auto"/>
        <w:right w:val="none" w:sz="0" w:space="0" w:color="auto"/>
      </w:divBdr>
    </w:div>
    <w:div w:id="191346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mondragon-corporation.com/en/" TargetMode="External"/><Relationship Id="rId13" Type="http://schemas.openxmlformats.org/officeDocument/2006/relationships/hyperlink" Target="https://www.uk.coop/" TargetMode="External"/><Relationship Id="rId3" Type="http://schemas.openxmlformats.org/officeDocument/2006/relationships/hyperlink" Target="http://www.granby4streetsclt.co.uk/" TargetMode="External"/><Relationship Id="rId7" Type="http://schemas.openxmlformats.org/officeDocument/2006/relationships/hyperlink" Target="http://hummedia.manchester.ac.uk/institutes/cresc/workingpapers/wp131.pdf" TargetMode="External"/><Relationship Id="rId12" Type="http://schemas.openxmlformats.org/officeDocument/2006/relationships/hyperlink" Target="https://www.glasgow.gov.uk/CHttpHandler.ashx?id=35036&amp;p=0" TargetMode="External"/><Relationship Id="rId2" Type="http://schemas.openxmlformats.org/officeDocument/2006/relationships/hyperlink" Target="https://www.southtyneside.gov.uk/article/57429/Protecting-Community-Facilities-for-the-Future" TargetMode="External"/><Relationship Id="rId1" Type="http://schemas.openxmlformats.org/officeDocument/2006/relationships/hyperlink" Target="https://www.economicshelp.org/blog/21435/economics/pareto-improvement/" TargetMode="External"/><Relationship Id="rId6" Type="http://schemas.openxmlformats.org/officeDocument/2006/relationships/hyperlink" Target="https://www.barnsley.gov.uk/media/3063/employment-and-skills-strategy.pdf" TargetMode="External"/><Relationship Id="rId11" Type="http://schemas.openxmlformats.org/officeDocument/2006/relationships/hyperlink" Target="http://www.uk.coop/resources/simply-buyout" TargetMode="External"/><Relationship Id="rId5" Type="http://schemas.openxmlformats.org/officeDocument/2006/relationships/hyperlink" Target="http://webarchive.nationalarchives.gov.uk/20140108132932/http://www.ukces.org.uk/assets/ukces/docs/publications/employer-practice-in-progressing-low-paid-staff.pdf" TargetMode="External"/><Relationship Id="rId15" Type="http://schemas.openxmlformats.org/officeDocument/2006/relationships/hyperlink" Target="http://www.powertochange.org.uk/" TargetMode="External"/><Relationship Id="rId10" Type="http://schemas.openxmlformats.org/officeDocument/2006/relationships/hyperlink" Target="http://clok.uclan.ac.uk/14526/1/Co-operative%20activity%20PrestonREPORT%20copy.pdf" TargetMode="External"/><Relationship Id="rId4" Type="http://schemas.openxmlformats.org/officeDocument/2006/relationships/hyperlink" Target="http://www.homesforholsworthy.org.uk/" TargetMode="External"/><Relationship Id="rId9" Type="http://schemas.openxmlformats.org/officeDocument/2006/relationships/hyperlink" Target="http://www.evgoh.com/" TargetMode="External"/><Relationship Id="rId14" Type="http://schemas.openxmlformats.org/officeDocument/2006/relationships/hyperlink" Target="http://locality.org.uk/our-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Updated%202014%20templates\CLES%20Report%20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4B03B-AE34-4F2C-8659-E7D0F0CE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CLES Report 2014</Template>
  <TotalTime>0</TotalTime>
  <Pages>75</Pages>
  <Words>10060</Words>
  <Characters>57344</Characters>
  <Application>Microsoft Office Word</Application>
  <DocSecurity>4</DocSecurity>
  <Lines>477</Lines>
  <Paragraphs>134</Paragraphs>
  <ScaleCrop>false</ScaleCrop>
  <HeadingPairs>
    <vt:vector size="2" baseType="variant">
      <vt:variant>
        <vt:lpstr>Title</vt:lpstr>
      </vt:variant>
      <vt:variant>
        <vt:i4>1</vt:i4>
      </vt:variant>
    </vt:vector>
  </HeadingPairs>
  <TitlesOfParts>
    <vt:vector size="1" baseType="lpstr">
      <vt:lpstr>Date</vt:lpstr>
    </vt:vector>
  </TitlesOfParts>
  <Company>CLES</Company>
  <LinksUpToDate>false</LinksUpToDate>
  <CharactersWithSpaces>67270</CharactersWithSpaces>
  <SharedDoc>false</SharedDoc>
  <HLinks>
    <vt:vector size="6" baseType="variant">
      <vt:variant>
        <vt:i4>1376307</vt:i4>
      </vt:variant>
      <vt:variant>
        <vt:i4>2</vt:i4>
      </vt:variant>
      <vt:variant>
        <vt:i4>0</vt:i4>
      </vt:variant>
      <vt:variant>
        <vt:i4>5</vt:i4>
      </vt:variant>
      <vt:variant>
        <vt:lpwstr/>
      </vt:variant>
      <vt:variant>
        <vt:lpwstr>_Toc243978579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Stuart MacDonald</dc:creator>
  <cp:lastModifiedBy>Chaplin, Alexandra</cp:lastModifiedBy>
  <cp:revision>2</cp:revision>
  <cp:lastPrinted>2017-10-13T14:07:00Z</cp:lastPrinted>
  <dcterms:created xsi:type="dcterms:W3CDTF">2019-05-29T12:16:00Z</dcterms:created>
  <dcterms:modified xsi:type="dcterms:W3CDTF">2019-05-29T12:16:00Z</dcterms:modified>
</cp:coreProperties>
</file>